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beforeAutospacing="0" w:line="580" w:lineRule="exact"/>
        <w:ind w:left="0" w:leftChars="0" w:right="0"/>
        <w:jc w:val="center"/>
        <w:textAlignment w:val="auto"/>
        <w:rPr>
          <w:rFonts w:hint="eastAsia" w:ascii="方正小标宋简体" w:hAnsi="方正小标宋简体" w:eastAsia="方正小标宋简体" w:cs="方正小标宋简体"/>
          <w:b w:val="0"/>
          <w:bCs w:val="0"/>
          <w:sz w:val="40"/>
          <w:szCs w:val="40"/>
          <w:lang w:val="en-US" w:eastAsia="zh-CN"/>
        </w:rPr>
      </w:pPr>
      <w:r>
        <w:rPr>
          <w:rFonts w:hint="eastAsia" w:ascii="方正小标宋简体" w:hAnsi="方正小标宋简体" w:eastAsia="方正小标宋简体" w:cs="方正小标宋简体"/>
          <w:b w:val="0"/>
          <w:bCs w:val="0"/>
          <w:sz w:val="40"/>
          <w:szCs w:val="40"/>
          <w:lang w:val="en-US" w:eastAsia="zh-CN"/>
        </w:rPr>
        <w:t>津市市三洲驿街道渔米巷小区老旧小区改造</w:t>
      </w:r>
    </w:p>
    <w:p>
      <w:pPr>
        <w:keepNext w:val="0"/>
        <w:keepLines w:val="0"/>
        <w:pageBreakBefore w:val="0"/>
        <w:kinsoku/>
        <w:wordWrap/>
        <w:overflowPunct/>
        <w:topLinePunct w:val="0"/>
        <w:autoSpaceDE/>
        <w:autoSpaceDN/>
        <w:bidi w:val="0"/>
        <w:spacing w:beforeAutospacing="0" w:line="580" w:lineRule="exact"/>
        <w:ind w:left="0" w:leftChars="0" w:right="0"/>
        <w:jc w:val="center"/>
        <w:textAlignment w:val="auto"/>
        <w:rPr>
          <w:rFonts w:hint="eastAsia" w:ascii="方正小标宋简体" w:hAnsi="方正小标宋简体" w:eastAsia="方正小标宋简体" w:cs="方正小标宋简体"/>
          <w:b w:val="0"/>
          <w:bCs w:val="0"/>
          <w:sz w:val="40"/>
          <w:szCs w:val="40"/>
        </w:rPr>
      </w:pPr>
      <w:r>
        <w:rPr>
          <w:rFonts w:hint="eastAsia" w:ascii="方正小标宋简体" w:hAnsi="方正小标宋简体" w:eastAsia="方正小标宋简体" w:cs="方正小标宋简体"/>
          <w:b w:val="0"/>
          <w:bCs w:val="0"/>
          <w:sz w:val="40"/>
          <w:szCs w:val="40"/>
          <w:lang w:val="en-US" w:eastAsia="zh-CN"/>
        </w:rPr>
        <w:t>工程2021年度</w:t>
      </w:r>
      <w:r>
        <w:rPr>
          <w:rFonts w:hint="eastAsia" w:ascii="方正小标宋简体" w:hAnsi="方正小标宋简体" w:eastAsia="方正小标宋简体" w:cs="方正小标宋简体"/>
          <w:b w:val="0"/>
          <w:bCs w:val="0"/>
          <w:sz w:val="40"/>
          <w:szCs w:val="40"/>
          <w:lang w:eastAsia="zh-CN"/>
        </w:rPr>
        <w:t>项目</w:t>
      </w:r>
      <w:r>
        <w:rPr>
          <w:rFonts w:hint="eastAsia" w:ascii="方正小标宋简体" w:hAnsi="方正小标宋简体" w:eastAsia="方正小标宋简体" w:cs="方正小标宋简体"/>
          <w:b w:val="0"/>
          <w:bCs w:val="0"/>
          <w:sz w:val="40"/>
          <w:szCs w:val="40"/>
        </w:rPr>
        <w:t>支出绩效报告</w:t>
      </w:r>
    </w:p>
    <w:p>
      <w:pPr>
        <w:keepNext w:val="0"/>
        <w:keepLines w:val="0"/>
        <w:pageBreakBefore w:val="0"/>
        <w:kinsoku/>
        <w:wordWrap/>
        <w:overflowPunct/>
        <w:topLinePunct w:val="0"/>
        <w:autoSpaceDE/>
        <w:autoSpaceDN/>
        <w:bidi w:val="0"/>
        <w:adjustRightInd w:val="0"/>
        <w:spacing w:beforeAutospacing="0" w:line="580" w:lineRule="exact"/>
        <w:ind w:left="0" w:leftChars="0" w:right="0"/>
        <w:textAlignment w:val="auto"/>
        <w:rPr>
          <w:rFonts w:eastAsia="仿宋_GB2312"/>
          <w:sz w:val="32"/>
          <w:szCs w:val="32"/>
        </w:rPr>
      </w:pPr>
    </w:p>
    <w:p>
      <w:pPr>
        <w:keepNext w:val="0"/>
        <w:keepLines w:val="0"/>
        <w:pageBreakBefore w:val="0"/>
        <w:kinsoku/>
        <w:wordWrap/>
        <w:overflowPunct/>
        <w:topLinePunct w:val="0"/>
        <w:autoSpaceDE/>
        <w:autoSpaceDN/>
        <w:bidi w:val="0"/>
        <w:adjustRightInd w:val="0"/>
        <w:snapToGrid w:val="0"/>
        <w:spacing w:beforeAutospacing="0" w:line="580" w:lineRule="exact"/>
        <w:ind w:left="0" w:leftChars="0" w:right="0" w:firstLine="640" w:firstLineChars="200"/>
        <w:textAlignment w:val="auto"/>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keepNext w:val="0"/>
        <w:keepLines w:val="0"/>
        <w:pageBreakBefore w:val="0"/>
        <w:kinsoku/>
        <w:wordWrap/>
        <w:overflowPunct/>
        <w:topLinePunct w:val="0"/>
        <w:autoSpaceDE/>
        <w:autoSpaceDN/>
        <w:bidi w:val="0"/>
        <w:adjustRightInd w:val="0"/>
        <w:snapToGrid w:val="0"/>
        <w:spacing w:beforeAutospacing="0" w:line="580" w:lineRule="exact"/>
        <w:ind w:left="0" w:leftChars="0" w:right="0" w:firstLine="640" w:firstLineChars="200"/>
        <w:textAlignment w:val="auto"/>
        <w:rPr>
          <w:rFonts w:hint="eastAsia" w:ascii="Calibri" w:hAnsi="Calibri" w:eastAsia="仿宋_GB2312" w:cs="Times New Roman"/>
          <w:kern w:val="2"/>
          <w:sz w:val="32"/>
          <w:szCs w:val="32"/>
          <w:lang w:val="en-US" w:eastAsia="zh-CN" w:bidi="ar-SA"/>
        </w:rPr>
      </w:pPr>
      <w:r>
        <w:rPr>
          <w:rFonts w:hint="eastAsia" w:ascii="Calibri" w:hAnsi="Calibri" w:eastAsia="仿宋_GB2312" w:cs="Times New Roman"/>
          <w:kern w:val="2"/>
          <w:sz w:val="32"/>
          <w:szCs w:val="32"/>
          <w:lang w:val="en-US" w:eastAsia="zh-CN" w:bidi="ar-SA"/>
        </w:rPr>
        <w:t>（一）项目实施单位基本情况。</w:t>
      </w:r>
    </w:p>
    <w:p>
      <w:pPr>
        <w:pStyle w:val="2"/>
        <w:keepNext w:val="0"/>
        <w:keepLines w:val="0"/>
        <w:pageBreakBefore w:val="0"/>
        <w:kinsoku/>
        <w:wordWrap/>
        <w:overflowPunct/>
        <w:topLinePunct w:val="0"/>
        <w:autoSpaceDE/>
        <w:autoSpaceDN/>
        <w:bidi w:val="0"/>
        <w:spacing w:before="0" w:beforeAutospacing="0" w:line="580" w:lineRule="exact"/>
        <w:ind w:left="0" w:leftChars="0" w:right="0"/>
        <w:textAlignment w:val="auto"/>
        <w:rPr>
          <w:rFonts w:hint="eastAsia" w:eastAsia="仿宋_GB2312"/>
          <w:sz w:val="32"/>
          <w:szCs w:val="32"/>
          <w:lang w:val="en-US" w:eastAsia="zh-CN"/>
        </w:rPr>
      </w:pPr>
      <w:r>
        <w:rPr>
          <w:rFonts w:hint="eastAsia" w:eastAsia="仿宋_GB2312"/>
          <w:sz w:val="32"/>
          <w:szCs w:val="32"/>
          <w:lang w:val="en-US" w:eastAsia="zh-CN"/>
        </w:rPr>
        <w:t>三洲驿街道办事处位于津市市区西北部，东起万寿路，西与澧县接壤，是津市市商贸文化中心。辖区总面积6.27平方公里，总人口3.3万人，辖三洲街、城隍庙、后湖、桥北、柏枝林、护市、蔡家河7个社区居委会。</w:t>
      </w:r>
      <w:r>
        <w:rPr>
          <w:rFonts w:hint="eastAsia" w:ascii="仿宋_GB2312" w:hAnsi="仿宋" w:eastAsia="仿宋_GB2312"/>
          <w:sz w:val="32"/>
          <w:szCs w:val="32"/>
        </w:rPr>
        <w:t>三洲驿街道办事处主要负责宣传贯彻党的路线、方针、政策和国家法律法规，执行上级党委的决定和命令；负责街道的思想政治工作和精神文明建设</w:t>
      </w:r>
      <w:r>
        <w:rPr>
          <w:rFonts w:hint="eastAsia" w:ascii="仿宋_GB2312" w:hAnsi="仿宋" w:eastAsia="仿宋_GB2312"/>
          <w:sz w:val="32"/>
          <w:szCs w:val="32"/>
          <w:lang w:val="en-US" w:eastAsia="zh-CN"/>
        </w:rPr>
        <w:t>；</w:t>
      </w:r>
      <w:r>
        <w:rPr>
          <w:rFonts w:hint="eastAsia" w:ascii="仿宋_GB2312" w:hAnsi="仿宋" w:eastAsia="仿宋_GB2312"/>
          <w:sz w:val="32"/>
          <w:szCs w:val="32"/>
        </w:rPr>
        <w:t>负责街道社会治安综合治理工作；负责街道党风廉政建设；负责街道干部工作；负责社区基层党组织和街道机关支部的建设；负责对社区工青妇群众组织的领导；负责街道党的统战工作；负责社区和机关党员教育管理工作；负责街道武装部工作及完成市委</w:t>
      </w:r>
      <w:r>
        <w:rPr>
          <w:rFonts w:hint="eastAsia" w:ascii="仿宋_GB2312" w:hAnsi="仿宋" w:eastAsia="仿宋_GB2312"/>
          <w:sz w:val="32"/>
          <w:szCs w:val="32"/>
          <w:lang w:eastAsia="zh-CN"/>
        </w:rPr>
        <w:t>市政府</w:t>
      </w:r>
      <w:r>
        <w:rPr>
          <w:rFonts w:hint="eastAsia" w:ascii="仿宋_GB2312" w:hAnsi="仿宋" w:eastAsia="仿宋_GB2312"/>
          <w:sz w:val="32"/>
          <w:szCs w:val="32"/>
        </w:rPr>
        <w:t>交办的其他工作。</w:t>
      </w:r>
    </w:p>
    <w:p>
      <w:pPr>
        <w:keepNext w:val="0"/>
        <w:keepLines w:val="0"/>
        <w:pageBreakBefore w:val="0"/>
        <w:kinsoku/>
        <w:wordWrap/>
        <w:overflowPunct/>
        <w:topLinePunct w:val="0"/>
        <w:autoSpaceDE/>
        <w:autoSpaceDN/>
        <w:bidi w:val="0"/>
        <w:adjustRightInd w:val="0"/>
        <w:snapToGrid w:val="0"/>
        <w:spacing w:beforeAutospacing="0" w:line="580" w:lineRule="exact"/>
        <w:ind w:left="0" w:leftChars="0" w:right="0" w:firstLine="640" w:firstLineChars="200"/>
        <w:textAlignment w:val="auto"/>
        <w:rPr>
          <w:rFonts w:hint="eastAsia" w:ascii="Calibri" w:hAnsi="Calibri" w:eastAsia="仿宋_GB2312" w:cs="Times New Roman"/>
          <w:kern w:val="2"/>
          <w:sz w:val="32"/>
          <w:szCs w:val="32"/>
          <w:lang w:val="en-US" w:eastAsia="zh-CN" w:bidi="ar-SA"/>
        </w:rPr>
      </w:pPr>
      <w:r>
        <w:rPr>
          <w:rFonts w:hint="eastAsia" w:ascii="Calibri" w:hAnsi="Calibri" w:eastAsia="仿宋_GB2312" w:cs="Times New Roman"/>
          <w:kern w:val="2"/>
          <w:sz w:val="32"/>
          <w:szCs w:val="32"/>
          <w:lang w:val="en-US" w:eastAsia="zh-CN" w:bidi="ar-SA"/>
        </w:rPr>
        <w:t>（二）项目基本情况包括项目基本性质、用途和主要内容、涉及范围等。</w:t>
      </w:r>
    </w:p>
    <w:p>
      <w:pPr>
        <w:keepNext w:val="0"/>
        <w:keepLines w:val="0"/>
        <w:pageBreakBefore w:val="0"/>
        <w:numPr>
          <w:ilvl w:val="0"/>
          <w:numId w:val="0"/>
        </w:numPr>
        <w:kinsoku/>
        <w:wordWrap/>
        <w:overflowPunct/>
        <w:topLinePunct w:val="0"/>
        <w:autoSpaceDE/>
        <w:autoSpaceDN/>
        <w:bidi w:val="0"/>
        <w:adjustRightInd w:val="0"/>
        <w:snapToGrid w:val="0"/>
        <w:spacing w:beforeAutospacing="0" w:line="580" w:lineRule="exact"/>
        <w:ind w:left="0" w:leftChars="0" w:right="0"/>
        <w:textAlignment w:val="auto"/>
        <w:rPr>
          <w:rFonts w:hint="default"/>
          <w:lang w:val="en-US" w:eastAsia="zh-CN"/>
        </w:rPr>
      </w:pPr>
      <w:r>
        <w:rPr>
          <w:rFonts w:hint="eastAsia" w:eastAsia="仿宋_GB2312"/>
          <w:sz w:val="32"/>
          <w:szCs w:val="32"/>
          <w:lang w:val="en-US" w:eastAsia="zh-CN"/>
        </w:rPr>
        <w:t xml:space="preserve">    项目基本性质是老旧小区改造，用途是为打造宜居街区，主要内容是道路改造、网管清淤、围墙改造、金属车棚、院内水电改造等。</w:t>
      </w:r>
    </w:p>
    <w:p>
      <w:pPr>
        <w:keepNext w:val="0"/>
        <w:keepLines w:val="0"/>
        <w:pageBreakBefore w:val="0"/>
        <w:kinsoku/>
        <w:wordWrap/>
        <w:overflowPunct/>
        <w:topLinePunct w:val="0"/>
        <w:autoSpaceDE/>
        <w:autoSpaceDN/>
        <w:bidi w:val="0"/>
        <w:adjustRightInd w:val="0"/>
        <w:snapToGrid w:val="0"/>
        <w:spacing w:beforeAutospacing="0" w:line="580" w:lineRule="exact"/>
        <w:ind w:left="0" w:leftChars="0" w:right="0" w:firstLine="640" w:firstLineChars="200"/>
        <w:textAlignment w:val="auto"/>
        <w:rPr>
          <w:rFonts w:hint="eastAsia" w:ascii="Calibri" w:hAnsi="Calibri" w:eastAsia="仿宋_GB2312" w:cs="Times New Roman"/>
          <w:kern w:val="2"/>
          <w:sz w:val="32"/>
          <w:szCs w:val="32"/>
          <w:lang w:val="en-US" w:eastAsia="zh-CN" w:bidi="ar-SA"/>
        </w:rPr>
      </w:pPr>
      <w:r>
        <w:rPr>
          <w:rFonts w:hint="eastAsia" w:ascii="Calibri" w:hAnsi="Calibri" w:eastAsia="仿宋_GB2312" w:cs="Times New Roman"/>
          <w:kern w:val="2"/>
          <w:sz w:val="32"/>
          <w:szCs w:val="32"/>
          <w:lang w:val="en-US" w:eastAsia="zh-CN" w:bidi="ar-SA"/>
        </w:rPr>
        <w:t>（三）项目绩效目标，包括总体目标和年度目标。</w:t>
      </w:r>
    </w:p>
    <w:p>
      <w:pPr>
        <w:keepNext w:val="0"/>
        <w:keepLines w:val="0"/>
        <w:pageBreakBefore w:val="0"/>
        <w:kinsoku/>
        <w:wordWrap/>
        <w:overflowPunct/>
        <w:topLinePunct w:val="0"/>
        <w:autoSpaceDE/>
        <w:autoSpaceDN/>
        <w:bidi w:val="0"/>
        <w:adjustRightInd w:val="0"/>
        <w:snapToGrid w:val="0"/>
        <w:spacing w:beforeAutospacing="0" w:line="580" w:lineRule="exact"/>
        <w:ind w:left="0" w:leftChars="0" w:right="0" w:firstLine="640" w:firstLineChars="200"/>
        <w:textAlignment w:val="auto"/>
        <w:rPr>
          <w:rFonts w:eastAsia="仿宋_GB2312"/>
          <w:sz w:val="32"/>
          <w:szCs w:val="32"/>
        </w:rPr>
      </w:pPr>
      <w:r>
        <w:rPr>
          <w:rFonts w:hint="eastAsia" w:eastAsia="仿宋_GB2312"/>
          <w:sz w:val="32"/>
          <w:szCs w:val="32"/>
          <w:lang w:val="en-US" w:eastAsia="zh-CN"/>
        </w:rPr>
        <w:t>总体目标：实施老旧小区改造提升，进一步改善群众居住条件，提高居住质量和生活质量，增强群众获得感、幸福感、安全感，同时将促进城市均衡发展，加快塑造城市新风貌，提升城市品质，并拉动城市建设投资，促进社会经济发展。</w:t>
      </w:r>
    </w:p>
    <w:p>
      <w:pPr>
        <w:keepNext w:val="0"/>
        <w:keepLines w:val="0"/>
        <w:pageBreakBefore w:val="0"/>
        <w:numPr>
          <w:ilvl w:val="0"/>
          <w:numId w:val="0"/>
        </w:numPr>
        <w:kinsoku/>
        <w:wordWrap/>
        <w:overflowPunct/>
        <w:topLinePunct w:val="0"/>
        <w:autoSpaceDE/>
        <w:autoSpaceDN/>
        <w:bidi w:val="0"/>
        <w:adjustRightInd w:val="0"/>
        <w:snapToGrid w:val="0"/>
        <w:spacing w:beforeAutospacing="0" w:line="580" w:lineRule="exact"/>
        <w:ind w:left="0" w:leftChars="0" w:right="0"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年度目标：对涉及5个小区，共有住宅楼15栋，居民户数220户，总建筑面积7500平方米，道路改造4850平方米，管网清淤850米，休闲活动场所180平方米，绿化工程220平方米，拆除违章建筑及修复92平方米等。</w:t>
      </w:r>
    </w:p>
    <w:p>
      <w:pPr>
        <w:keepNext w:val="0"/>
        <w:keepLines w:val="0"/>
        <w:pageBreakBefore w:val="0"/>
        <w:numPr>
          <w:ilvl w:val="0"/>
          <w:numId w:val="1"/>
        </w:numPr>
        <w:kinsoku/>
        <w:wordWrap/>
        <w:overflowPunct/>
        <w:topLinePunct w:val="0"/>
        <w:autoSpaceDE/>
        <w:autoSpaceDN/>
        <w:bidi w:val="0"/>
        <w:adjustRightInd w:val="0"/>
        <w:snapToGrid w:val="0"/>
        <w:spacing w:beforeAutospacing="0" w:line="580" w:lineRule="exact"/>
        <w:ind w:left="0" w:leftChars="0" w:right="0" w:firstLine="640" w:firstLineChars="200"/>
        <w:textAlignment w:val="auto"/>
        <w:rPr>
          <w:rFonts w:eastAsia="黑体"/>
          <w:sz w:val="32"/>
          <w:szCs w:val="32"/>
        </w:rPr>
      </w:pPr>
      <w:r>
        <w:rPr>
          <w:rFonts w:hint="eastAsia" w:eastAsia="黑体"/>
          <w:sz w:val="32"/>
          <w:szCs w:val="32"/>
          <w:lang w:eastAsia="zh-CN"/>
        </w:rPr>
        <w:t>项目</w:t>
      </w:r>
      <w:r>
        <w:rPr>
          <w:rFonts w:eastAsia="黑体"/>
          <w:sz w:val="32"/>
          <w:szCs w:val="32"/>
        </w:rPr>
        <w:t>资金使用及管理情况</w:t>
      </w:r>
    </w:p>
    <w:p>
      <w:pPr>
        <w:keepNext w:val="0"/>
        <w:keepLines w:val="0"/>
        <w:pageBreakBefore w:val="0"/>
        <w:numPr>
          <w:ilvl w:val="0"/>
          <w:numId w:val="2"/>
        </w:numPr>
        <w:kinsoku/>
        <w:wordWrap/>
        <w:overflowPunct/>
        <w:topLinePunct w:val="0"/>
        <w:autoSpaceDE/>
        <w:autoSpaceDN/>
        <w:bidi w:val="0"/>
        <w:adjustRightInd w:val="0"/>
        <w:snapToGrid w:val="0"/>
        <w:spacing w:beforeAutospacing="0" w:line="580" w:lineRule="exact"/>
        <w:ind w:left="-10" w:leftChars="0" w:right="0" w:firstLine="640" w:firstLineChars="0"/>
        <w:textAlignment w:val="auto"/>
        <w:rPr>
          <w:rFonts w:hint="eastAsia" w:eastAsia="仿宋_GB2312"/>
          <w:sz w:val="32"/>
          <w:szCs w:val="32"/>
          <w:lang w:val="en-US" w:eastAsia="zh-CN"/>
        </w:rPr>
      </w:pPr>
      <w:r>
        <w:rPr>
          <w:rFonts w:hint="eastAsia" w:eastAsia="仿宋_GB2312"/>
          <w:sz w:val="32"/>
          <w:szCs w:val="32"/>
          <w:lang w:eastAsia="zh-CN"/>
        </w:rPr>
        <w:t>项目</w:t>
      </w:r>
      <w:r>
        <w:rPr>
          <w:rFonts w:eastAsia="仿宋_GB2312"/>
          <w:sz w:val="32"/>
          <w:szCs w:val="32"/>
        </w:rPr>
        <w:t>资金及自筹资金的安排落实、总投入等情况。</w:t>
      </w:r>
    </w:p>
    <w:p>
      <w:pPr>
        <w:keepNext w:val="0"/>
        <w:keepLines w:val="0"/>
        <w:pageBreakBefore w:val="0"/>
        <w:numPr>
          <w:ilvl w:val="0"/>
          <w:numId w:val="0"/>
        </w:numPr>
        <w:kinsoku/>
        <w:wordWrap/>
        <w:overflowPunct/>
        <w:topLinePunct w:val="0"/>
        <w:autoSpaceDE/>
        <w:autoSpaceDN/>
        <w:bidi w:val="0"/>
        <w:adjustRightInd w:val="0"/>
        <w:snapToGrid w:val="0"/>
        <w:spacing w:beforeAutospacing="0" w:line="580" w:lineRule="exact"/>
        <w:ind w:left="0" w:leftChars="0" w:right="0"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三洲驿街道渔米巷小区老旧小区改造项目总投入362.48万元，其中上级补助收入362.48万元。</w:t>
      </w:r>
    </w:p>
    <w:p>
      <w:pPr>
        <w:keepNext w:val="0"/>
        <w:keepLines w:val="0"/>
        <w:pageBreakBefore w:val="0"/>
        <w:numPr>
          <w:ilvl w:val="0"/>
          <w:numId w:val="3"/>
        </w:numPr>
        <w:kinsoku/>
        <w:wordWrap/>
        <w:overflowPunct/>
        <w:topLinePunct w:val="0"/>
        <w:autoSpaceDE/>
        <w:autoSpaceDN/>
        <w:bidi w:val="0"/>
        <w:adjustRightInd w:val="0"/>
        <w:snapToGrid w:val="0"/>
        <w:spacing w:beforeAutospacing="0" w:line="580" w:lineRule="exact"/>
        <w:ind w:left="-10" w:leftChars="0" w:right="0" w:firstLine="640" w:firstLineChars="0"/>
        <w:textAlignment w:val="auto"/>
        <w:rPr>
          <w:rFonts w:eastAsia="仿宋_GB2312"/>
          <w:sz w:val="32"/>
          <w:szCs w:val="32"/>
        </w:rPr>
      </w:pPr>
      <w:r>
        <w:rPr>
          <w:rFonts w:hint="eastAsia" w:eastAsia="仿宋_GB2312"/>
          <w:sz w:val="32"/>
          <w:szCs w:val="32"/>
          <w:lang w:eastAsia="zh-CN"/>
        </w:rPr>
        <w:t>项目</w:t>
      </w:r>
      <w:r>
        <w:rPr>
          <w:rFonts w:eastAsia="仿宋_GB2312"/>
          <w:sz w:val="32"/>
          <w:szCs w:val="32"/>
        </w:rPr>
        <w:t>资金实际使用情况。</w:t>
      </w:r>
    </w:p>
    <w:p>
      <w:pPr>
        <w:keepNext w:val="0"/>
        <w:keepLines w:val="0"/>
        <w:pageBreakBefore w:val="0"/>
        <w:kinsoku/>
        <w:wordWrap/>
        <w:overflowPunct/>
        <w:topLinePunct w:val="0"/>
        <w:autoSpaceDE/>
        <w:autoSpaceDN/>
        <w:bidi w:val="0"/>
        <w:adjustRightInd w:val="0"/>
        <w:snapToGrid w:val="0"/>
        <w:spacing w:beforeAutospacing="0" w:line="580" w:lineRule="exact"/>
        <w:ind w:left="0" w:leftChars="0" w:right="0" w:firstLine="640" w:firstLineChars="200"/>
        <w:textAlignment w:val="auto"/>
        <w:rPr>
          <w:rFonts w:hint="eastAsia" w:eastAsia="仿宋_GB2312"/>
          <w:sz w:val="32"/>
          <w:szCs w:val="32"/>
          <w:lang w:eastAsia="zh-CN"/>
        </w:rPr>
      </w:pPr>
      <w:r>
        <w:rPr>
          <w:rFonts w:hint="eastAsia" w:eastAsia="仿宋_GB2312"/>
          <w:sz w:val="32"/>
          <w:szCs w:val="32"/>
          <w:lang w:eastAsia="zh-CN"/>
        </w:rPr>
        <w:t>截止202</w:t>
      </w:r>
      <w:r>
        <w:rPr>
          <w:rFonts w:hint="eastAsia" w:eastAsia="仿宋_GB2312"/>
          <w:sz w:val="32"/>
          <w:szCs w:val="32"/>
          <w:lang w:val="en-US" w:eastAsia="zh-CN"/>
        </w:rPr>
        <w:t>1</w:t>
      </w:r>
      <w:r>
        <w:rPr>
          <w:rFonts w:hint="eastAsia" w:eastAsia="仿宋_GB2312"/>
          <w:sz w:val="32"/>
          <w:szCs w:val="32"/>
          <w:lang w:eastAsia="zh-CN"/>
        </w:rPr>
        <w:t>年12月31日，共支付</w:t>
      </w:r>
      <w:r>
        <w:rPr>
          <w:rFonts w:hint="eastAsia" w:eastAsia="仿宋_GB2312"/>
          <w:sz w:val="32"/>
          <w:szCs w:val="32"/>
          <w:lang w:val="en-US" w:eastAsia="zh-CN"/>
        </w:rPr>
        <w:t>三洲驿街道渔米巷小区老旧小区改造项目工程款195</w:t>
      </w:r>
      <w:r>
        <w:rPr>
          <w:rFonts w:hint="eastAsia" w:eastAsia="仿宋_GB2312"/>
          <w:sz w:val="32"/>
          <w:szCs w:val="32"/>
          <w:lang w:eastAsia="zh-CN"/>
        </w:rPr>
        <w:t>万元</w:t>
      </w:r>
      <w:r>
        <w:rPr>
          <w:rFonts w:hint="eastAsia" w:eastAsia="仿宋_GB2312"/>
          <w:sz w:val="32"/>
          <w:szCs w:val="32"/>
          <w:lang w:val="en-US" w:eastAsia="zh-CN"/>
        </w:rPr>
        <w:t>。</w:t>
      </w:r>
    </w:p>
    <w:p>
      <w:pPr>
        <w:keepNext w:val="0"/>
        <w:keepLines w:val="0"/>
        <w:pageBreakBefore w:val="0"/>
        <w:numPr>
          <w:ilvl w:val="0"/>
          <w:numId w:val="3"/>
        </w:numPr>
        <w:kinsoku/>
        <w:wordWrap/>
        <w:overflowPunct/>
        <w:topLinePunct w:val="0"/>
        <w:autoSpaceDE/>
        <w:autoSpaceDN/>
        <w:bidi w:val="0"/>
        <w:adjustRightInd w:val="0"/>
        <w:snapToGrid w:val="0"/>
        <w:spacing w:beforeAutospacing="0" w:line="580" w:lineRule="exact"/>
        <w:ind w:left="-10" w:leftChars="0" w:right="0" w:firstLine="640" w:firstLineChars="0"/>
        <w:textAlignment w:val="auto"/>
        <w:rPr>
          <w:rFonts w:eastAsia="仿宋_GB2312"/>
          <w:sz w:val="32"/>
          <w:szCs w:val="32"/>
        </w:rPr>
      </w:pPr>
      <w:r>
        <w:rPr>
          <w:rFonts w:hint="eastAsia" w:eastAsia="仿宋_GB2312"/>
          <w:sz w:val="32"/>
          <w:szCs w:val="32"/>
          <w:lang w:eastAsia="zh-CN"/>
        </w:rPr>
        <w:t>项目</w:t>
      </w:r>
      <w:r>
        <w:rPr>
          <w:rFonts w:eastAsia="仿宋_GB2312"/>
          <w:sz w:val="32"/>
          <w:szCs w:val="32"/>
        </w:rPr>
        <w:t>资金管理情况分析，主要包括管理制度、办法的制订及执行情况。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left="0" w:leftChars="0" w:right="0" w:firstLine="640" w:firstLineChars="200"/>
        <w:jc w:val="left"/>
        <w:textAlignment w:val="auto"/>
      </w:pPr>
      <w:r>
        <w:rPr>
          <w:rFonts w:hint="eastAsia" w:eastAsia="仿宋_GB2312"/>
          <w:sz w:val="32"/>
          <w:szCs w:val="32"/>
          <w:lang w:val="en-US" w:eastAsia="zh-CN"/>
        </w:rPr>
        <w:t>按照成立了项目管理领导小组，严格按照三洲驿街道办事处专项资金管理办法加强资金监管，并严格执行财政投资评审和政府采购规定。项目资金拨付及时，在预定的时间内完成了相关支出任务，收、支台账完善，资金使用符合相关规定，对项目资金的使用情况监督到位。</w:t>
      </w:r>
    </w:p>
    <w:p>
      <w:pPr>
        <w:keepNext w:val="0"/>
        <w:keepLines w:val="0"/>
        <w:pageBreakBefore w:val="0"/>
        <w:kinsoku/>
        <w:wordWrap/>
        <w:overflowPunct/>
        <w:topLinePunct w:val="0"/>
        <w:autoSpaceDE/>
        <w:autoSpaceDN/>
        <w:bidi w:val="0"/>
        <w:adjustRightInd w:val="0"/>
        <w:snapToGrid w:val="0"/>
        <w:spacing w:beforeAutospacing="0" w:line="580" w:lineRule="exact"/>
        <w:ind w:left="0" w:leftChars="0" w:right="0" w:firstLine="640" w:firstLineChars="200"/>
        <w:textAlignment w:val="auto"/>
        <w:rPr>
          <w:rFonts w:eastAsia="黑体"/>
          <w:sz w:val="32"/>
          <w:szCs w:val="32"/>
        </w:rPr>
      </w:pPr>
      <w:r>
        <w:rPr>
          <w:rFonts w:eastAsia="黑体"/>
          <w:sz w:val="32"/>
          <w:szCs w:val="32"/>
        </w:rPr>
        <w:t>三、</w:t>
      </w:r>
      <w:r>
        <w:rPr>
          <w:rFonts w:hint="eastAsia" w:eastAsia="黑体"/>
          <w:sz w:val="32"/>
          <w:szCs w:val="32"/>
          <w:lang w:eastAsia="zh-CN"/>
        </w:rPr>
        <w:t>项目</w:t>
      </w:r>
      <w:r>
        <w:rPr>
          <w:rFonts w:eastAsia="黑体"/>
          <w:sz w:val="32"/>
          <w:szCs w:val="32"/>
        </w:rPr>
        <w:t>支出组织实施情况</w:t>
      </w:r>
    </w:p>
    <w:p>
      <w:pPr>
        <w:pStyle w:val="2"/>
        <w:keepNext w:val="0"/>
        <w:keepLines w:val="0"/>
        <w:pageBreakBefore w:val="0"/>
        <w:numPr>
          <w:ilvl w:val="0"/>
          <w:numId w:val="4"/>
        </w:numPr>
        <w:kinsoku/>
        <w:wordWrap/>
        <w:overflowPunct/>
        <w:topLinePunct w:val="0"/>
        <w:autoSpaceDE/>
        <w:autoSpaceDN/>
        <w:bidi w:val="0"/>
        <w:spacing w:before="0" w:beforeAutospacing="0" w:line="580" w:lineRule="exact"/>
        <w:ind w:left="0" w:leftChars="0" w:right="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项目组织实施情况。街道对三洲驿街道渔米巷小区老旧小区改造项目实行全程跟踪和监督，确保项目有序推进，保证项目建设质量。所有项目均通过政府采购实施，保证事前、事中、事后监督，确保工程建设合法合规。</w:t>
      </w:r>
    </w:p>
    <w:p>
      <w:pPr>
        <w:pStyle w:val="2"/>
        <w:keepNext w:val="0"/>
        <w:keepLines w:val="0"/>
        <w:pageBreakBefore w:val="0"/>
        <w:numPr>
          <w:ilvl w:val="0"/>
          <w:numId w:val="4"/>
        </w:numPr>
        <w:kinsoku/>
        <w:wordWrap/>
        <w:overflowPunct/>
        <w:topLinePunct w:val="0"/>
        <w:autoSpaceDE/>
        <w:autoSpaceDN/>
        <w:bidi w:val="0"/>
        <w:spacing w:before="0" w:beforeAutospacing="0" w:line="580" w:lineRule="exact"/>
        <w:ind w:left="0" w:leftChars="0" w:right="0"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项目招投标情况。项目已完成招投标工作。</w:t>
      </w:r>
    </w:p>
    <w:p>
      <w:pPr>
        <w:pStyle w:val="2"/>
        <w:keepNext w:val="0"/>
        <w:keepLines w:val="0"/>
        <w:pageBreakBefore w:val="0"/>
        <w:numPr>
          <w:ilvl w:val="0"/>
          <w:numId w:val="4"/>
        </w:numPr>
        <w:kinsoku/>
        <w:wordWrap/>
        <w:overflowPunct/>
        <w:topLinePunct w:val="0"/>
        <w:autoSpaceDE/>
        <w:autoSpaceDN/>
        <w:bidi w:val="0"/>
        <w:spacing w:before="0" w:beforeAutospacing="0" w:line="580" w:lineRule="exact"/>
        <w:ind w:left="0" w:leftChars="0" w:right="0" w:firstLine="640" w:firstLineChars="200"/>
        <w:textAlignment w:val="auto"/>
        <w:rPr>
          <w:rFonts w:hint="eastAsia" w:eastAsia="仿宋_GB2312"/>
          <w:sz w:val="32"/>
          <w:szCs w:val="32"/>
          <w:lang w:val="en-US" w:eastAsia="zh-CN"/>
        </w:rPr>
      </w:pPr>
      <w:r>
        <w:rPr>
          <w:rFonts w:hint="eastAsia" w:eastAsia="仿宋_GB2312"/>
          <w:sz w:val="32"/>
          <w:szCs w:val="32"/>
          <w:lang w:val="en-US" w:eastAsia="zh-CN"/>
        </w:rPr>
        <w:t>截止2021年12月31日，工程已经完工，已完成竣工验收。</w:t>
      </w:r>
    </w:p>
    <w:p>
      <w:pPr>
        <w:keepNext w:val="0"/>
        <w:keepLines w:val="0"/>
        <w:pageBreakBefore w:val="0"/>
        <w:numPr>
          <w:ilvl w:val="0"/>
          <w:numId w:val="5"/>
        </w:numPr>
        <w:kinsoku/>
        <w:wordWrap/>
        <w:overflowPunct/>
        <w:topLinePunct w:val="0"/>
        <w:autoSpaceDE/>
        <w:autoSpaceDN/>
        <w:bidi w:val="0"/>
        <w:adjustRightInd w:val="0"/>
        <w:snapToGrid w:val="0"/>
        <w:spacing w:beforeAutospacing="0" w:line="580" w:lineRule="exact"/>
        <w:ind w:left="0" w:leftChars="0" w:right="0" w:firstLine="640" w:firstLineChars="200"/>
        <w:textAlignment w:val="auto"/>
        <w:rPr>
          <w:rFonts w:eastAsia="黑体"/>
          <w:sz w:val="32"/>
          <w:szCs w:val="32"/>
        </w:rPr>
      </w:pPr>
      <w:r>
        <w:rPr>
          <w:rFonts w:hint="eastAsia" w:eastAsia="黑体"/>
          <w:sz w:val="32"/>
          <w:szCs w:val="32"/>
          <w:lang w:eastAsia="zh-CN"/>
        </w:rPr>
        <w:t>项目</w:t>
      </w:r>
      <w:r>
        <w:rPr>
          <w:rFonts w:eastAsia="黑体"/>
          <w:sz w:val="32"/>
          <w:szCs w:val="32"/>
        </w:rPr>
        <w:t>绩效情况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left="0" w:leftChars="0" w:right="0" w:firstLine="640" w:firstLineChars="200"/>
        <w:jc w:val="left"/>
        <w:textAlignment w:val="auto"/>
        <w:rPr>
          <w:rFonts w:hint="eastAsia" w:eastAsia="仿宋_GB2312"/>
          <w:sz w:val="32"/>
          <w:szCs w:val="32"/>
          <w:lang w:val="en-US" w:eastAsia="zh-CN"/>
        </w:rPr>
      </w:pPr>
      <w:r>
        <w:rPr>
          <w:rFonts w:hint="eastAsia" w:eastAsia="仿宋_GB2312"/>
          <w:sz w:val="32"/>
          <w:szCs w:val="32"/>
          <w:lang w:val="en-US" w:eastAsia="zh-CN"/>
        </w:rPr>
        <w:t>1、数量指标;（1）改造建筑面积7500平方米；（2）改造15栋住宅，改造居民户数220户；（3）改造小区数量5个小区。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left="0" w:leftChars="0" w:right="0" w:firstLine="640" w:firstLineChars="200"/>
        <w:jc w:val="left"/>
        <w:textAlignment w:val="auto"/>
        <w:rPr>
          <w:rFonts w:hint="eastAsia" w:eastAsia="仿宋_GB2312"/>
          <w:sz w:val="32"/>
          <w:szCs w:val="32"/>
          <w:lang w:val="en-US" w:eastAsia="zh-CN"/>
        </w:rPr>
      </w:pPr>
      <w:r>
        <w:rPr>
          <w:rFonts w:hint="eastAsia" w:eastAsia="仿宋_GB2312"/>
          <w:sz w:val="32"/>
          <w:szCs w:val="32"/>
          <w:lang w:val="en-US" w:eastAsia="zh-CN"/>
        </w:rPr>
        <w:t xml:space="preserve">2、质量指标：（1）改造验收合格率≥95%，实际98%，完成率100%；（2）安全事故发生率0%，实际安全事故零发生。完成率100%。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left="0" w:leftChars="0" w:right="0" w:firstLine="640" w:firstLineChars="200"/>
        <w:jc w:val="left"/>
        <w:textAlignment w:val="auto"/>
        <w:rPr>
          <w:rFonts w:hint="eastAsia" w:eastAsia="仿宋_GB2312"/>
          <w:sz w:val="32"/>
          <w:szCs w:val="32"/>
          <w:lang w:val="en-US" w:eastAsia="zh-CN"/>
        </w:rPr>
      </w:pPr>
      <w:r>
        <w:rPr>
          <w:rFonts w:hint="eastAsia" w:eastAsia="仿宋_GB2312"/>
          <w:sz w:val="32"/>
          <w:szCs w:val="32"/>
          <w:lang w:val="en-US" w:eastAsia="zh-CN"/>
        </w:rPr>
        <w:t>3、时效指标：改造工作开工目标完成率≥100%，完成率100%。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left="0" w:leftChars="0" w:right="0" w:firstLine="640" w:firstLineChars="200"/>
        <w:jc w:val="left"/>
        <w:textAlignment w:val="auto"/>
        <w:rPr>
          <w:rFonts w:hint="eastAsia" w:eastAsia="仿宋_GB2312"/>
          <w:sz w:val="32"/>
          <w:szCs w:val="32"/>
          <w:lang w:val="en-US" w:eastAsia="zh-CN"/>
        </w:rPr>
      </w:pPr>
      <w:r>
        <w:rPr>
          <w:rFonts w:hint="eastAsia" w:eastAsia="仿宋_GB2312"/>
          <w:sz w:val="32"/>
          <w:szCs w:val="32"/>
          <w:lang w:val="en-US" w:eastAsia="zh-CN"/>
        </w:rPr>
        <w:t>4、效益指标：社会效益指标，群众居住条件有效改善。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left="0" w:leftChars="0" w:right="0" w:firstLine="640" w:firstLineChars="200"/>
        <w:jc w:val="left"/>
        <w:textAlignment w:val="auto"/>
        <w:rPr>
          <w:rFonts w:hint="eastAsia" w:eastAsia="仿宋_GB2312"/>
          <w:sz w:val="32"/>
          <w:szCs w:val="32"/>
          <w:lang w:val="en-US" w:eastAsia="zh-CN"/>
        </w:rPr>
      </w:pPr>
      <w:r>
        <w:rPr>
          <w:rFonts w:hint="eastAsia" w:eastAsia="仿宋_GB2312"/>
          <w:sz w:val="32"/>
          <w:szCs w:val="32"/>
          <w:lang w:val="en-US" w:eastAsia="zh-CN"/>
        </w:rPr>
        <w:t>5、服务对象满意度指标：老旧小区居民满意度≥90%，完成率100%。</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left="0" w:leftChars="0" w:right="0" w:firstLine="640" w:firstLineChars="200"/>
        <w:jc w:val="left"/>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通过改造，老旧小区内环境脏乱差、设施陈旧、配套不全等群众感受最直接的问题得到有效解决，居住环境明显改善，城市面貌得到提升。小区群众的满意度和幸福感得到提升，获得了广泛支持和认可。</w:t>
      </w:r>
    </w:p>
    <w:p>
      <w:pPr>
        <w:keepNext w:val="0"/>
        <w:keepLines w:val="0"/>
        <w:pageBreakBefore w:val="0"/>
        <w:kinsoku/>
        <w:wordWrap/>
        <w:overflowPunct/>
        <w:topLinePunct w:val="0"/>
        <w:autoSpaceDE/>
        <w:autoSpaceDN/>
        <w:bidi w:val="0"/>
        <w:adjustRightInd w:val="0"/>
        <w:snapToGrid w:val="0"/>
        <w:spacing w:beforeAutospacing="0" w:line="580" w:lineRule="exact"/>
        <w:ind w:left="0" w:leftChars="0" w:right="0" w:firstLine="640" w:firstLineChars="200"/>
        <w:textAlignment w:val="auto"/>
        <w:rPr>
          <w:rFonts w:eastAsia="黑体"/>
          <w:sz w:val="32"/>
          <w:szCs w:val="32"/>
        </w:rPr>
      </w:pPr>
      <w:r>
        <w:rPr>
          <w:rFonts w:hint="eastAsia" w:eastAsia="黑体"/>
          <w:sz w:val="32"/>
          <w:szCs w:val="32"/>
          <w:lang w:eastAsia="zh-CN"/>
        </w:rPr>
        <w:t>五</w:t>
      </w:r>
      <w:r>
        <w:rPr>
          <w:rFonts w:eastAsia="黑体"/>
          <w:sz w:val="32"/>
          <w:szCs w:val="32"/>
        </w:rPr>
        <w:t>、其他需要说明的问题</w:t>
      </w:r>
    </w:p>
    <w:p>
      <w:pPr>
        <w:keepNext w:val="0"/>
        <w:keepLines w:val="0"/>
        <w:pageBreakBefore w:val="0"/>
        <w:kinsoku/>
        <w:wordWrap/>
        <w:overflowPunct/>
        <w:topLinePunct w:val="0"/>
        <w:autoSpaceDE/>
        <w:autoSpaceDN/>
        <w:bidi w:val="0"/>
        <w:adjustRightInd w:val="0"/>
        <w:snapToGrid w:val="0"/>
        <w:spacing w:beforeAutospacing="0" w:line="580" w:lineRule="exact"/>
        <w:ind w:left="0" w:leftChars="0"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（一）后续工作计划。</w:t>
      </w:r>
    </w:p>
    <w:p>
      <w:pPr>
        <w:keepNext w:val="0"/>
        <w:keepLines w:val="0"/>
        <w:pageBreakBefore w:val="0"/>
        <w:kinsoku/>
        <w:wordWrap/>
        <w:overflowPunct/>
        <w:topLinePunct w:val="0"/>
        <w:autoSpaceDE/>
        <w:autoSpaceDN/>
        <w:bidi w:val="0"/>
        <w:adjustRightInd w:val="0"/>
        <w:snapToGrid w:val="0"/>
        <w:spacing w:beforeAutospacing="0" w:line="580" w:lineRule="exact"/>
        <w:ind w:left="0" w:leftChars="0" w:right="0" w:firstLine="640"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继续跟进</w:t>
      </w:r>
      <w:r>
        <w:rPr>
          <w:rFonts w:hint="eastAsia" w:eastAsia="仿宋_GB2312"/>
          <w:sz w:val="32"/>
          <w:szCs w:val="32"/>
          <w:lang w:val="en-US" w:eastAsia="zh-CN"/>
        </w:rPr>
        <w:t>三洲驿街道渔米巷小区老旧小区</w:t>
      </w:r>
      <w:r>
        <w:rPr>
          <w:rFonts w:hint="eastAsia" w:ascii="仿宋_GB2312" w:hAnsi="仿宋_GB2312" w:eastAsia="仿宋_GB2312" w:cs="仿宋_GB2312"/>
          <w:sz w:val="32"/>
          <w:szCs w:val="32"/>
          <w:lang w:val="en-US" w:eastAsia="zh-CN"/>
        </w:rPr>
        <w:t>改造工程改造工程进度，待工程完成投资评审决算和相关资料后支付至工程总价的97%，余额3%用作质保金。</w:t>
      </w:r>
    </w:p>
    <w:p>
      <w:pPr>
        <w:keepNext w:val="0"/>
        <w:keepLines w:val="0"/>
        <w:pageBreakBefore w:val="0"/>
        <w:numPr>
          <w:ilvl w:val="0"/>
          <w:numId w:val="6"/>
        </w:numPr>
        <w:kinsoku/>
        <w:wordWrap/>
        <w:overflowPunct/>
        <w:topLinePunct w:val="0"/>
        <w:autoSpaceDE/>
        <w:autoSpaceDN/>
        <w:bidi w:val="0"/>
        <w:adjustRightInd w:val="0"/>
        <w:snapToGrid w:val="0"/>
        <w:spacing w:beforeAutospacing="0" w:line="580" w:lineRule="exact"/>
        <w:ind w:left="0" w:leftChars="0"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主要经验做法、存在的问题和建议。主要包括资金安排、使用过程中的经验、做法、存在的问题、改进措施和有关建议等。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left="0" w:leftChars="0" w:right="0"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主要做法：无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left="0" w:leftChars="0" w:right="0"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存在问题：无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580" w:lineRule="exact"/>
        <w:ind w:left="0" w:leftChars="0" w:right="0" w:firstLine="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下一步改进措施：在下步工作中，单位将认真按照贯彻落实好上级部门的工作部署，切实提高政治站位，强化组织领导，明确目标任务，增强技术力量，抓好施工管理，确保工程质量，把老旧小区建设的各项工作抓细抓实，确保完成目标任务。</w:t>
      </w:r>
    </w:p>
    <w:p>
      <w:pPr>
        <w:adjustRightInd w:val="0"/>
        <w:snapToGrid w:val="0"/>
        <w:spacing w:line="600" w:lineRule="exact"/>
        <w:rPr>
          <w:rFonts w:eastAsia="仿宋_GB2312"/>
          <w:sz w:val="32"/>
          <w:szCs w:val="32"/>
        </w:rPr>
      </w:pPr>
    </w:p>
    <w:p>
      <w:pPr>
        <w:adjustRightInd w:val="0"/>
        <w:snapToGrid w:val="0"/>
        <w:spacing w:line="600" w:lineRule="exact"/>
        <w:ind w:firstLine="640" w:firstLineChars="200"/>
        <w:rPr>
          <w:rFonts w:hint="eastAsia" w:eastAsia="仿宋_GB2312"/>
          <w:sz w:val="32"/>
          <w:szCs w:val="32"/>
        </w:rPr>
      </w:pPr>
      <w:r>
        <w:rPr>
          <w:rFonts w:eastAsia="仿宋_GB2312"/>
          <w:sz w:val="32"/>
          <w:szCs w:val="32"/>
        </w:rPr>
        <w:t>附件：</w:t>
      </w:r>
      <w:r>
        <w:rPr>
          <w:rFonts w:hint="eastAsia" w:eastAsia="仿宋_GB2312"/>
          <w:sz w:val="32"/>
          <w:szCs w:val="32"/>
        </w:rPr>
        <w:t>预算支出绩效自评</w:t>
      </w:r>
    </w:p>
    <w:p>
      <w:pPr>
        <w:pStyle w:val="2"/>
        <w:rPr>
          <w:rFonts w:hint="eastAsia" w:eastAsia="仿宋_GB2312"/>
          <w:sz w:val="32"/>
          <w:szCs w:val="32"/>
        </w:rPr>
      </w:pPr>
    </w:p>
    <w:p>
      <w:pPr>
        <w:pStyle w:val="2"/>
        <w:rPr>
          <w:rFonts w:hint="eastAsia" w:eastAsia="仿宋_GB2312"/>
          <w:sz w:val="32"/>
          <w:szCs w:val="32"/>
        </w:rPr>
      </w:pPr>
    </w:p>
    <w:p>
      <w:pPr>
        <w:pStyle w:val="2"/>
        <w:rPr>
          <w:rFonts w:hint="eastAsia" w:eastAsia="仿宋_GB2312"/>
          <w:sz w:val="32"/>
          <w:szCs w:val="32"/>
        </w:rPr>
      </w:pPr>
    </w:p>
    <w:p>
      <w:pPr>
        <w:pStyle w:val="2"/>
        <w:rPr>
          <w:rFonts w:hint="eastAsia" w:eastAsia="仿宋_GB2312"/>
          <w:sz w:val="32"/>
          <w:szCs w:val="32"/>
        </w:rPr>
      </w:pPr>
    </w:p>
    <w:p>
      <w:pPr>
        <w:pStyle w:val="2"/>
        <w:rPr>
          <w:rFonts w:hint="eastAsia" w:eastAsia="仿宋_GB2312"/>
          <w:sz w:val="32"/>
          <w:szCs w:val="32"/>
        </w:rPr>
      </w:pPr>
    </w:p>
    <w:p>
      <w:pPr>
        <w:pStyle w:val="2"/>
        <w:ind w:left="0" w:leftChars="0" w:firstLine="0" w:firstLineChars="0"/>
        <w:rPr>
          <w:rFonts w:hint="eastAsia" w:eastAsia="仿宋_GB2312"/>
          <w:sz w:val="32"/>
          <w:szCs w:val="32"/>
        </w:rPr>
      </w:pPr>
    </w:p>
    <w:tbl>
      <w:tblPr>
        <w:tblStyle w:val="5"/>
        <w:tblW w:w="9999" w:type="dxa"/>
        <w:jc w:val="center"/>
        <w:tblLayout w:type="autofit"/>
        <w:tblCellMar>
          <w:top w:w="0" w:type="dxa"/>
          <w:left w:w="108" w:type="dxa"/>
          <w:bottom w:w="0" w:type="dxa"/>
          <w:right w:w="108" w:type="dxa"/>
        </w:tblCellMar>
      </w:tblPr>
      <w:tblGrid>
        <w:gridCol w:w="1135"/>
        <w:gridCol w:w="992"/>
        <w:gridCol w:w="1186"/>
        <w:gridCol w:w="990"/>
        <w:gridCol w:w="1410"/>
        <w:gridCol w:w="1320"/>
        <w:gridCol w:w="855"/>
        <w:gridCol w:w="855"/>
        <w:gridCol w:w="1256"/>
      </w:tblGrid>
      <w:tr>
        <w:tblPrEx>
          <w:tblCellMar>
            <w:top w:w="0" w:type="dxa"/>
            <w:left w:w="108" w:type="dxa"/>
            <w:bottom w:w="0" w:type="dxa"/>
            <w:right w:w="108" w:type="dxa"/>
          </w:tblCellMar>
        </w:tblPrEx>
        <w:trPr>
          <w:trHeight w:val="1188" w:hRule="atLeast"/>
          <w:jc w:val="center"/>
        </w:trPr>
        <w:tc>
          <w:tcPr>
            <w:tcW w:w="9999"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w:t>
            </w:r>
            <w:bookmarkStart w:id="0" w:name="_GoBack"/>
            <w:bookmarkEnd w:id="0"/>
            <w:r>
              <w:rPr>
                <w:rFonts w:eastAsia="方正小标宋_GBK"/>
                <w:color w:val="000000"/>
                <w:kern w:val="0"/>
                <w:sz w:val="36"/>
                <w:szCs w:val="36"/>
              </w:rPr>
              <w:t>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工贸片区（老有为小区、拐家楼小区、阳由宿舍、运管所宿舍）老旧小区改造工程</w:t>
            </w:r>
            <w:r>
              <w:rPr>
                <w:rFonts w:hint="eastAsia" w:eastAsia="仿宋_GB2312"/>
                <w:color w:val="000000"/>
                <w:kern w:val="0"/>
                <w:szCs w:val="21"/>
              </w:rPr>
              <w:t>改造项目</w:t>
            </w:r>
            <w:r>
              <w:rPr>
                <w:rFonts w:eastAsia="仿宋_GB2312"/>
                <w:color w:val="000000"/>
                <w:kern w:val="0"/>
                <w:szCs w:val="21"/>
              </w:rPr>
              <w:t>　</w:t>
            </w:r>
          </w:p>
        </w:tc>
      </w:tr>
      <w:tr>
        <w:tblPrEx>
          <w:tblCellMar>
            <w:top w:w="0" w:type="dxa"/>
            <w:left w:w="108" w:type="dxa"/>
            <w:bottom w:w="0" w:type="dxa"/>
            <w:right w:w="108" w:type="dxa"/>
          </w:tblCellMar>
        </w:tblPrEx>
        <w:trPr>
          <w:trHeight w:val="579"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主管部门</w:t>
            </w:r>
          </w:p>
        </w:tc>
        <w:tc>
          <w:tcPr>
            <w:tcW w:w="4578"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 w:val="21"/>
                <w:szCs w:val="21"/>
                <w:lang w:val="en-US" w:eastAsia="zh-CN" w:bidi="ar-SA"/>
              </w:rPr>
              <w:t>津市市人民政府</w:t>
            </w:r>
          </w:p>
        </w:tc>
        <w:tc>
          <w:tcPr>
            <w:tcW w:w="1320" w:type="dxa"/>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实施单位</w:t>
            </w:r>
          </w:p>
        </w:tc>
        <w:tc>
          <w:tcPr>
            <w:tcW w:w="2966"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r>
              <w:rPr>
                <w:rFonts w:hint="eastAsia" w:eastAsia="仿宋_GB2312"/>
                <w:color w:val="000000"/>
                <w:kern w:val="0"/>
                <w:szCs w:val="21"/>
              </w:rPr>
              <w:t>津市市三洲驿街道办事处</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p>
            <w:pPr>
              <w:widowControl/>
              <w:jc w:val="center"/>
              <w:rPr>
                <w:rFonts w:eastAsia="仿宋_GB2312"/>
                <w:color w:val="000000"/>
                <w:kern w:val="0"/>
                <w:szCs w:val="21"/>
              </w:rPr>
            </w:pPr>
          </w:p>
        </w:tc>
        <w:tc>
          <w:tcPr>
            <w:tcW w:w="2178" w:type="dxa"/>
            <w:gridSpan w:val="2"/>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p>
        </w:tc>
        <w:tc>
          <w:tcPr>
            <w:tcW w:w="9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年初预算数</w:t>
            </w:r>
          </w:p>
        </w:tc>
        <w:tc>
          <w:tcPr>
            <w:tcW w:w="1410"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全年预</w:t>
            </w:r>
          </w:p>
          <w:p>
            <w:pPr>
              <w:widowControl/>
              <w:jc w:val="center"/>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算数</w:t>
            </w:r>
          </w:p>
        </w:tc>
        <w:tc>
          <w:tcPr>
            <w:tcW w:w="1320" w:type="dxa"/>
            <w:tcBorders>
              <w:top w:val="nil"/>
              <w:left w:val="nil"/>
              <w:bottom w:val="single" w:color="auto" w:sz="4" w:space="0"/>
              <w:right w:val="single" w:color="auto" w:sz="4" w:space="0"/>
            </w:tcBorders>
            <w:noWrap w:val="0"/>
            <w:vAlign w:val="top"/>
          </w:tcPr>
          <w:p>
            <w:pPr>
              <w:jc w:val="center"/>
              <w:rPr>
                <w:rFonts w:ascii="Times New Roman" w:hAnsi="Times New Roman" w:eastAsia="仿宋_GB2312" w:cs="Times New Roman"/>
                <w:kern w:val="2"/>
                <w:sz w:val="21"/>
                <w:szCs w:val="21"/>
                <w:lang w:val="en-US" w:eastAsia="zh-CN" w:bidi="ar-SA"/>
              </w:rPr>
            </w:pPr>
            <w:r>
              <w:rPr>
                <w:rFonts w:eastAsia="仿宋_GB2312"/>
                <w:szCs w:val="21"/>
              </w:rPr>
              <w:t>全年执行数</w:t>
            </w:r>
          </w:p>
        </w:tc>
        <w:tc>
          <w:tcPr>
            <w:tcW w:w="855" w:type="dxa"/>
            <w:tcBorders>
              <w:top w:val="nil"/>
              <w:left w:val="nil"/>
              <w:bottom w:val="single" w:color="auto" w:sz="4" w:space="0"/>
              <w:right w:val="single" w:color="auto" w:sz="4" w:space="0"/>
            </w:tcBorders>
            <w:noWrap w:val="0"/>
            <w:vAlign w:val="top"/>
          </w:tcPr>
          <w:p>
            <w:pPr>
              <w:jc w:val="center"/>
              <w:rPr>
                <w:rFonts w:ascii="Times New Roman" w:hAnsi="Times New Roman" w:eastAsia="仿宋_GB2312" w:cs="Times New Roman"/>
                <w:kern w:val="2"/>
                <w:sz w:val="21"/>
                <w:szCs w:val="21"/>
                <w:lang w:val="en-US" w:eastAsia="zh-CN" w:bidi="ar-SA"/>
              </w:rPr>
            </w:pPr>
            <w:r>
              <w:rPr>
                <w:rFonts w:eastAsia="仿宋_GB2312"/>
                <w:szCs w:val="21"/>
              </w:rPr>
              <w:t>分值</w:t>
            </w:r>
          </w:p>
        </w:tc>
        <w:tc>
          <w:tcPr>
            <w:tcW w:w="855" w:type="dxa"/>
            <w:tcBorders>
              <w:top w:val="nil"/>
              <w:left w:val="nil"/>
              <w:bottom w:val="single" w:color="auto" w:sz="4" w:space="0"/>
              <w:right w:val="single" w:color="auto" w:sz="4" w:space="0"/>
            </w:tcBorders>
            <w:noWrap w:val="0"/>
            <w:vAlign w:val="top"/>
          </w:tcPr>
          <w:p>
            <w:pPr>
              <w:jc w:val="center"/>
              <w:rPr>
                <w:rFonts w:ascii="Times New Roman" w:hAnsi="Times New Roman" w:eastAsia="仿宋_GB2312" w:cs="Times New Roman"/>
                <w:kern w:val="2"/>
                <w:sz w:val="21"/>
                <w:szCs w:val="21"/>
                <w:lang w:val="en-US" w:eastAsia="zh-CN" w:bidi="ar-SA"/>
              </w:rPr>
            </w:pPr>
            <w:r>
              <w:rPr>
                <w:rFonts w:eastAsia="仿宋_GB2312"/>
                <w:szCs w:val="21"/>
              </w:rPr>
              <w:t>执行率</w:t>
            </w:r>
          </w:p>
        </w:tc>
        <w:tc>
          <w:tcPr>
            <w:tcW w:w="1256" w:type="dxa"/>
            <w:tcBorders>
              <w:top w:val="nil"/>
              <w:left w:val="nil"/>
              <w:bottom w:val="single" w:color="auto" w:sz="4" w:space="0"/>
              <w:right w:val="single" w:color="auto" w:sz="4" w:space="0"/>
            </w:tcBorders>
            <w:noWrap w:val="0"/>
            <w:vAlign w:val="top"/>
          </w:tcPr>
          <w:p>
            <w:pPr>
              <w:jc w:val="center"/>
              <w:rPr>
                <w:rFonts w:ascii="Times New Roman" w:hAnsi="Times New Roman" w:eastAsia="仿宋_GB2312" w:cs="Times New Roman"/>
                <w:kern w:val="2"/>
                <w:sz w:val="21"/>
                <w:szCs w:val="21"/>
                <w:lang w:val="en-US" w:eastAsia="zh-CN" w:bidi="ar-SA"/>
              </w:rPr>
            </w:pPr>
            <w:r>
              <w:rPr>
                <w:rFonts w:eastAsia="仿宋_GB2312"/>
                <w:szCs w:val="21"/>
              </w:rPr>
              <w:t>得分</w:t>
            </w:r>
          </w:p>
        </w:tc>
      </w:tr>
      <w:tr>
        <w:tblPrEx>
          <w:tblCellMar>
            <w:top w:w="0" w:type="dxa"/>
            <w:left w:w="108" w:type="dxa"/>
            <w:bottom w:w="0" w:type="dxa"/>
            <w:right w:w="108" w:type="dxa"/>
          </w:tblCellMar>
        </w:tblPrEx>
        <w:trPr>
          <w:trHeight w:val="385"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178" w:type="dxa"/>
            <w:gridSpan w:val="2"/>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年度资金总额　</w:t>
            </w:r>
          </w:p>
        </w:tc>
        <w:tc>
          <w:tcPr>
            <w:tcW w:w="990"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 w:val="21"/>
                <w:szCs w:val="21"/>
                <w:lang w:val="en-US" w:eastAsia="zh-CN" w:bidi="ar-SA"/>
              </w:rPr>
              <w:t>326.48</w:t>
            </w:r>
          </w:p>
        </w:tc>
        <w:tc>
          <w:tcPr>
            <w:tcW w:w="1410"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 w:val="21"/>
                <w:szCs w:val="21"/>
                <w:lang w:val="en-US" w:eastAsia="zh-CN" w:bidi="ar-SA"/>
              </w:rPr>
              <w:t>326.48</w:t>
            </w:r>
          </w:p>
        </w:tc>
        <w:tc>
          <w:tcPr>
            <w:tcW w:w="1320"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195</w:t>
            </w:r>
          </w:p>
        </w:tc>
        <w:tc>
          <w:tcPr>
            <w:tcW w:w="855"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855" w:type="dxa"/>
            <w:tcBorders>
              <w:top w:val="nil"/>
              <w:left w:val="nil"/>
              <w:bottom w:val="single" w:color="auto" w:sz="4" w:space="0"/>
              <w:right w:val="single" w:color="auto" w:sz="4" w:space="0"/>
            </w:tcBorders>
            <w:noWrap w:val="0"/>
            <w:vAlign w:val="center"/>
          </w:tcPr>
          <w:p>
            <w:pPr>
              <w:widowControl/>
              <w:tabs>
                <w:tab w:val="center" w:pos="328"/>
              </w:tabs>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60%</w:t>
            </w:r>
          </w:p>
        </w:tc>
        <w:tc>
          <w:tcPr>
            <w:tcW w:w="1256" w:type="dxa"/>
            <w:tcBorders>
              <w:top w:val="nil"/>
              <w:left w:val="nil"/>
              <w:bottom w:val="single" w:color="auto" w:sz="4" w:space="0"/>
              <w:right w:val="single" w:color="auto" w:sz="4" w:space="0"/>
            </w:tcBorders>
            <w:noWrap w:val="0"/>
            <w:vAlign w:val="center"/>
          </w:tcPr>
          <w:p>
            <w:pPr>
              <w:widowControl/>
              <w:tabs>
                <w:tab w:val="left" w:pos="549"/>
              </w:tabs>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 w:val="21"/>
                <w:szCs w:val="21"/>
                <w:lang w:val="en-US" w:eastAsia="zh-CN" w:bidi="ar-SA"/>
              </w:rPr>
              <w:t>6</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178" w:type="dxa"/>
            <w:gridSpan w:val="2"/>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其中：当年财政拨款　</w:t>
            </w:r>
          </w:p>
        </w:tc>
        <w:tc>
          <w:tcPr>
            <w:tcW w:w="990"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p>
        </w:tc>
        <w:tc>
          <w:tcPr>
            <w:tcW w:w="1410"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p>
        </w:tc>
        <w:tc>
          <w:tcPr>
            <w:tcW w:w="1320"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p>
        </w:tc>
        <w:tc>
          <w:tcPr>
            <w:tcW w:w="855"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lang w:val="en-US" w:eastAsia="zh-CN" w:bidi="ar-SA"/>
              </w:rPr>
            </w:pPr>
          </w:p>
        </w:tc>
        <w:tc>
          <w:tcPr>
            <w:tcW w:w="855" w:type="dxa"/>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p>
        </w:tc>
        <w:tc>
          <w:tcPr>
            <w:tcW w:w="1256" w:type="dxa"/>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178"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上年结转资金　</w:t>
            </w:r>
          </w:p>
        </w:tc>
        <w:tc>
          <w:tcPr>
            <w:tcW w:w="990"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lang w:val="en-US" w:eastAsia="zh-CN" w:bidi="ar-SA"/>
              </w:rPr>
            </w:pPr>
          </w:p>
        </w:tc>
        <w:tc>
          <w:tcPr>
            <w:tcW w:w="1410"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lang w:val="en-US" w:eastAsia="zh-CN" w:bidi="ar-SA"/>
              </w:rPr>
            </w:pPr>
          </w:p>
        </w:tc>
        <w:tc>
          <w:tcPr>
            <w:tcW w:w="1320"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lang w:val="en-US" w:eastAsia="zh-CN" w:bidi="ar-SA"/>
              </w:rPr>
            </w:pPr>
          </w:p>
        </w:tc>
        <w:tc>
          <w:tcPr>
            <w:tcW w:w="855"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lang w:val="en-US" w:eastAsia="zh-CN" w:bidi="ar-SA"/>
              </w:rPr>
            </w:pPr>
          </w:p>
        </w:tc>
        <w:tc>
          <w:tcPr>
            <w:tcW w:w="855" w:type="dxa"/>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p>
        </w:tc>
        <w:tc>
          <w:tcPr>
            <w:tcW w:w="1256" w:type="dxa"/>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p>
        </w:tc>
      </w:tr>
      <w:tr>
        <w:tblPrEx>
          <w:tblCellMar>
            <w:top w:w="0" w:type="dxa"/>
            <w:left w:w="108" w:type="dxa"/>
            <w:bottom w:w="0" w:type="dxa"/>
            <w:right w:w="108" w:type="dxa"/>
          </w:tblCellMar>
        </w:tblPrEx>
        <w:trPr>
          <w:trHeight w:val="327"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178"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其他资金</w:t>
            </w:r>
          </w:p>
        </w:tc>
        <w:tc>
          <w:tcPr>
            <w:tcW w:w="990"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 w:val="21"/>
                <w:szCs w:val="21"/>
                <w:lang w:val="en-US" w:eastAsia="zh-CN" w:bidi="ar-SA"/>
              </w:rPr>
              <w:t>326.48</w:t>
            </w:r>
          </w:p>
        </w:tc>
        <w:tc>
          <w:tcPr>
            <w:tcW w:w="1410"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 w:val="21"/>
                <w:szCs w:val="21"/>
                <w:lang w:val="en-US" w:eastAsia="zh-CN" w:bidi="ar-SA"/>
              </w:rPr>
              <w:t>326.48</w:t>
            </w:r>
          </w:p>
        </w:tc>
        <w:tc>
          <w:tcPr>
            <w:tcW w:w="1320"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195</w:t>
            </w:r>
          </w:p>
        </w:tc>
        <w:tc>
          <w:tcPr>
            <w:tcW w:w="855" w:type="dxa"/>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p>
        </w:tc>
        <w:tc>
          <w:tcPr>
            <w:tcW w:w="855" w:type="dxa"/>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p>
        </w:tc>
        <w:tc>
          <w:tcPr>
            <w:tcW w:w="1256" w:type="dxa"/>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体目标</w:t>
            </w:r>
          </w:p>
          <w:p>
            <w:pPr>
              <w:widowControl/>
              <w:jc w:val="center"/>
              <w:rPr>
                <w:rFonts w:eastAsia="仿宋_GB2312"/>
                <w:color w:val="000000"/>
                <w:kern w:val="0"/>
                <w:szCs w:val="21"/>
              </w:rPr>
            </w:pPr>
          </w:p>
        </w:tc>
        <w:tc>
          <w:tcPr>
            <w:tcW w:w="4578"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预期目标</w:t>
            </w:r>
          </w:p>
        </w:tc>
        <w:tc>
          <w:tcPr>
            <w:tcW w:w="4286" w:type="dxa"/>
            <w:gridSpan w:val="4"/>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532" w:hRule="atLeast"/>
          <w:jc w:val="center"/>
        </w:trPr>
        <w:tc>
          <w:tcPr>
            <w:tcW w:w="113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4578" w:type="dxa"/>
            <w:gridSpan w:val="4"/>
            <w:tcBorders>
              <w:top w:val="single" w:color="auto" w:sz="4" w:space="0"/>
              <w:left w:val="nil"/>
              <w:bottom w:val="single" w:color="auto" w:sz="4" w:space="0"/>
              <w:right w:val="single" w:color="000000"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总建筑面积7500平方米。其中道路改造4850平方米，管网清淤850米，休闲活动场所180平方米，绿化工程220平方米，拆除违章建筑及修复92平方米等。</w:t>
            </w:r>
          </w:p>
        </w:tc>
        <w:tc>
          <w:tcPr>
            <w:tcW w:w="4286" w:type="dxa"/>
            <w:gridSpan w:val="4"/>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lang w:val="en-US" w:eastAsia="zh-CN"/>
              </w:rPr>
            </w:pPr>
            <w:r>
              <w:rPr>
                <w:rFonts w:eastAsia="仿宋_GB2312"/>
                <w:color w:val="000000"/>
                <w:kern w:val="0"/>
                <w:szCs w:val="21"/>
              </w:rPr>
              <w:t>总建筑面积7500平方米。其中道路改造4850平方米，管网清淤850米，休闲活动场所180平方米，绿化工程220平方米，拆除违章建筑及修复92平方米等。　　</w:t>
            </w:r>
          </w:p>
        </w:tc>
      </w:tr>
      <w:tr>
        <w:tblPrEx>
          <w:tblCellMar>
            <w:top w:w="0" w:type="dxa"/>
            <w:left w:w="108" w:type="dxa"/>
            <w:bottom w:w="0" w:type="dxa"/>
            <w:right w:w="108" w:type="dxa"/>
          </w:tblCellMar>
        </w:tblPrEx>
        <w:trPr>
          <w:trHeight w:val="675" w:hRule="atLeast"/>
          <w:jc w:val="center"/>
        </w:trPr>
        <w:tc>
          <w:tcPr>
            <w:tcW w:w="1135"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18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99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41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32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5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5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256"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154"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186"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990"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项目</w:t>
            </w:r>
          </w:p>
        </w:tc>
        <w:tc>
          <w:tcPr>
            <w:tcW w:w="1410" w:type="dxa"/>
            <w:tcBorders>
              <w:top w:val="single" w:color="auto" w:sz="4" w:space="0"/>
              <w:left w:val="nil"/>
              <w:bottom w:val="single" w:color="auto" w:sz="4" w:space="0"/>
              <w:right w:val="single" w:color="auto" w:sz="4" w:space="0"/>
            </w:tcBorders>
            <w:noWrap w:val="0"/>
            <w:vAlign w:val="center"/>
          </w:tcPr>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jc w:val="left"/>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eastAsia="仿宋_GB2312" w:cs="Times New Roman"/>
                <w:color w:val="000000"/>
                <w:kern w:val="0"/>
                <w:sz w:val="21"/>
                <w:szCs w:val="21"/>
                <w:lang w:val="en-US" w:eastAsia="zh-CN" w:bidi="ar-SA"/>
              </w:rPr>
              <w:t>改造小区数量5个小区;改造建筑面积7500平方米；改造15栋住宅，居民户数220户。</w:t>
            </w:r>
          </w:p>
        </w:tc>
        <w:tc>
          <w:tcPr>
            <w:tcW w:w="1320" w:type="dxa"/>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eastAsia="仿宋_GB2312" w:cs="Times New Roman"/>
                <w:color w:val="000000"/>
                <w:kern w:val="0"/>
                <w:sz w:val="21"/>
                <w:szCs w:val="21"/>
                <w:lang w:val="en-US" w:eastAsia="zh-CN" w:bidi="ar-SA"/>
              </w:rPr>
              <w:t>改造小区数量5个小区;改造建筑面积7500平方米；改造15栋住宅，居民户数220户。</w:t>
            </w:r>
          </w:p>
        </w:tc>
        <w:tc>
          <w:tcPr>
            <w:tcW w:w="855"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55" w:type="dxa"/>
            <w:tcBorders>
              <w:top w:val="single" w:color="auto" w:sz="4" w:space="0"/>
              <w:left w:val="nil"/>
              <w:bottom w:val="single" w:color="auto" w:sz="4" w:space="0"/>
              <w:right w:val="single" w:color="auto" w:sz="4" w:space="0"/>
            </w:tcBorders>
            <w:noWrap w:val="0"/>
            <w:vAlign w:val="center"/>
          </w:tcPr>
          <w:p>
            <w:pPr>
              <w:widowControl/>
              <w:ind w:firstLine="402" w:firstLineChars="0"/>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25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3275"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186" w:type="dxa"/>
            <w:vMerge w:val="continue"/>
            <w:tcBorders>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90"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工程</w:t>
            </w:r>
          </w:p>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项目</w:t>
            </w:r>
          </w:p>
        </w:tc>
        <w:tc>
          <w:tcPr>
            <w:tcW w:w="1410"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hint="eastAsia" w:eastAsia="仿宋_GB2312"/>
                <w:color w:val="000000"/>
                <w:kern w:val="0"/>
                <w:szCs w:val="21"/>
              </w:rPr>
              <w:t>道路改造4850平方米，管网清淤850米，休闲活动场所180平方米，绿化工程220平方米，拆除违章建筑及修复92平方米</w:t>
            </w:r>
          </w:p>
        </w:tc>
        <w:tc>
          <w:tcPr>
            <w:tcW w:w="132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道路改造4850平方米，管网清淤850米，休闲活动场所180平方米，绿化工程220平方米，拆除违章建筑及修复92平方米</w:t>
            </w:r>
          </w:p>
        </w:tc>
        <w:tc>
          <w:tcPr>
            <w:tcW w:w="855"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55"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25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186"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质量指标</w:t>
            </w:r>
          </w:p>
        </w:tc>
        <w:tc>
          <w:tcPr>
            <w:tcW w:w="99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rPr>
              <w:t>竣工验收达标率</w:t>
            </w:r>
          </w:p>
        </w:tc>
        <w:tc>
          <w:tcPr>
            <w:tcW w:w="1410"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100%</w:t>
            </w:r>
          </w:p>
        </w:tc>
        <w:tc>
          <w:tcPr>
            <w:tcW w:w="1320"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 w:val="21"/>
                <w:szCs w:val="21"/>
                <w:lang w:val="en-US" w:eastAsia="zh-CN" w:bidi="ar-SA"/>
              </w:rPr>
              <w:t>95%</w:t>
            </w:r>
          </w:p>
        </w:tc>
        <w:tc>
          <w:tcPr>
            <w:tcW w:w="855"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855"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9</w:t>
            </w:r>
          </w:p>
        </w:tc>
        <w:tc>
          <w:tcPr>
            <w:tcW w:w="1256"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工程已完工、未完成投资评审决算</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18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99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工程完工及时率</w:t>
            </w:r>
          </w:p>
        </w:tc>
        <w:tc>
          <w:tcPr>
            <w:tcW w:w="1410"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100%</w:t>
            </w:r>
          </w:p>
        </w:tc>
        <w:tc>
          <w:tcPr>
            <w:tcW w:w="1320"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100%</w:t>
            </w:r>
          </w:p>
        </w:tc>
        <w:tc>
          <w:tcPr>
            <w:tcW w:w="855"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855" w:type="dxa"/>
            <w:tcBorders>
              <w:top w:val="single" w:color="auto" w:sz="4" w:space="0"/>
              <w:left w:val="nil"/>
              <w:bottom w:val="single" w:color="auto" w:sz="4" w:space="0"/>
              <w:right w:val="single" w:color="auto" w:sz="4" w:space="0"/>
            </w:tcBorders>
            <w:noWrap w:val="0"/>
            <w:vAlign w:val="center"/>
          </w:tcPr>
          <w:p>
            <w:pPr>
              <w:widowControl/>
              <w:tabs>
                <w:tab w:val="left" w:pos="507"/>
              </w:tabs>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125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884"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186" w:type="dxa"/>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990" w:type="dxa"/>
            <w:tcBorders>
              <w:top w:val="single" w:color="auto" w:sz="4" w:space="0"/>
              <w:left w:val="nil"/>
              <w:bottom w:val="single" w:color="auto" w:sz="4" w:space="0"/>
              <w:right w:val="single" w:color="auto" w:sz="4" w:space="0"/>
            </w:tcBorders>
            <w:noWrap w:val="0"/>
            <w:vAlign w:val="center"/>
          </w:tcPr>
          <w:p>
            <w:pPr>
              <w:widowControl/>
              <w:jc w:val="center"/>
              <w:rPr>
                <w:rFonts w:ascii="Times New Roman" w:hAnsi="Times New Roman" w:eastAsia="仿宋_GB2312" w:cs="Times New Roman"/>
                <w:b/>
                <w:bCs/>
                <w:color w:val="000000"/>
                <w:kern w:val="0"/>
                <w:sz w:val="21"/>
                <w:szCs w:val="21"/>
                <w:lang w:val="en-US" w:eastAsia="zh-CN" w:bidi="ar-SA"/>
              </w:rPr>
            </w:pPr>
            <w:r>
              <w:rPr>
                <w:rFonts w:hint="eastAsia" w:eastAsia="仿宋_GB2312"/>
                <w:color w:val="000000"/>
                <w:kern w:val="0"/>
                <w:szCs w:val="21"/>
                <w:lang w:eastAsia="zh-CN"/>
              </w:rPr>
              <w:t>项目总成本</w:t>
            </w:r>
          </w:p>
        </w:tc>
        <w:tc>
          <w:tcPr>
            <w:tcW w:w="1410" w:type="dxa"/>
            <w:tcBorders>
              <w:top w:val="single" w:color="auto" w:sz="4" w:space="0"/>
              <w:left w:val="nil"/>
              <w:bottom w:val="single" w:color="auto" w:sz="4" w:space="0"/>
              <w:right w:val="single" w:color="auto" w:sz="4" w:space="0"/>
            </w:tcBorders>
            <w:noWrap w:val="0"/>
            <w:vAlign w:val="center"/>
          </w:tcPr>
          <w:p>
            <w:pPr>
              <w:widowControl/>
              <w:tabs>
                <w:tab w:val="center" w:pos="459"/>
              </w:tabs>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326.48万元</w:t>
            </w:r>
          </w:p>
        </w:tc>
        <w:tc>
          <w:tcPr>
            <w:tcW w:w="1320" w:type="dxa"/>
            <w:tcBorders>
              <w:top w:val="single" w:color="auto" w:sz="4" w:space="0"/>
              <w:left w:val="nil"/>
              <w:bottom w:val="single" w:color="auto" w:sz="4" w:space="0"/>
              <w:right w:val="single" w:color="auto" w:sz="4" w:space="0"/>
            </w:tcBorders>
            <w:noWrap w:val="0"/>
            <w:vAlign w:val="center"/>
          </w:tcPr>
          <w:p>
            <w:pPr>
              <w:widowControl/>
              <w:tabs>
                <w:tab w:val="center" w:pos="459"/>
              </w:tabs>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s="Times New Roman"/>
                <w:color w:val="000000"/>
                <w:kern w:val="0"/>
                <w:sz w:val="21"/>
                <w:szCs w:val="21"/>
                <w:lang w:val="en-US" w:eastAsia="zh-CN" w:bidi="ar-SA"/>
              </w:rPr>
              <w:t>≤326.48万元</w:t>
            </w:r>
          </w:p>
        </w:tc>
        <w:tc>
          <w:tcPr>
            <w:tcW w:w="855"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125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eastAsia="仿宋_GB2312"/>
                <w:color w:val="000000"/>
                <w:kern w:val="0"/>
                <w:szCs w:val="21"/>
              </w:rPr>
            </w:pPr>
          </w:p>
          <w:p>
            <w:pPr>
              <w:widowControl/>
              <w:jc w:val="left"/>
              <w:rPr>
                <w:rFonts w:eastAsia="仿宋_GB2312"/>
                <w:color w:val="000000"/>
                <w:kern w:val="0"/>
                <w:szCs w:val="21"/>
              </w:rPr>
            </w:pPr>
            <w:r>
              <w:rPr>
                <w:rFonts w:eastAsia="仿宋_GB2312"/>
                <w:color w:val="000000"/>
                <w:kern w:val="0"/>
                <w:szCs w:val="21"/>
              </w:rPr>
              <w:t>（30分）</w:t>
            </w:r>
          </w:p>
          <w:p>
            <w:pPr>
              <w:jc w:val="left"/>
              <w:rPr>
                <w:rFonts w:eastAsia="仿宋_GB2312"/>
                <w:color w:val="000000"/>
                <w:kern w:val="0"/>
                <w:szCs w:val="21"/>
              </w:rPr>
            </w:pPr>
            <w:r>
              <w:rPr>
                <w:rFonts w:eastAsia="仿宋_GB2312"/>
                <w:color w:val="000000"/>
                <w:kern w:val="0"/>
                <w:szCs w:val="21"/>
              </w:rPr>
              <w:t>　</w:t>
            </w:r>
          </w:p>
        </w:tc>
        <w:tc>
          <w:tcPr>
            <w:tcW w:w="118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9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color w:val="000000"/>
                <w:kern w:val="0"/>
                <w:szCs w:val="21"/>
              </w:rPr>
            </w:pPr>
            <w:r>
              <w:rPr>
                <w:rFonts w:hint="eastAsia" w:eastAsia="仿宋_GB2312"/>
                <w:color w:val="000000"/>
                <w:kern w:val="0"/>
                <w:szCs w:val="21"/>
              </w:rPr>
              <w:t>发展</w:t>
            </w:r>
          </w:p>
          <w:p>
            <w:pPr>
              <w:widowControl/>
              <w:jc w:val="center"/>
              <w:rPr>
                <w:rFonts w:eastAsia="仿宋_GB2312"/>
                <w:color w:val="000000"/>
                <w:kern w:val="0"/>
                <w:szCs w:val="21"/>
              </w:rPr>
            </w:pPr>
            <w:r>
              <w:rPr>
                <w:rFonts w:hint="eastAsia" w:eastAsia="仿宋_GB2312"/>
                <w:color w:val="000000"/>
                <w:kern w:val="0"/>
                <w:szCs w:val="21"/>
              </w:rPr>
              <w:t>经济</w:t>
            </w:r>
          </w:p>
        </w:tc>
        <w:tc>
          <w:tcPr>
            <w:tcW w:w="141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拉动固定资产投资、促进GDP增长、改善人居环境</w:t>
            </w:r>
          </w:p>
        </w:tc>
        <w:tc>
          <w:tcPr>
            <w:tcW w:w="132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拉动固定资产投资、促进GDP增长、改善人居环境</w:t>
            </w:r>
          </w:p>
        </w:tc>
        <w:tc>
          <w:tcPr>
            <w:tcW w:w="855"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7</w:t>
            </w:r>
          </w:p>
        </w:tc>
        <w:tc>
          <w:tcPr>
            <w:tcW w:w="855"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7</w:t>
            </w:r>
          </w:p>
        </w:tc>
        <w:tc>
          <w:tcPr>
            <w:tcW w:w="125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eastAsia="仿宋_GB2312"/>
                <w:color w:val="000000"/>
                <w:kern w:val="0"/>
                <w:szCs w:val="21"/>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9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rPr>
              <w:t>居民幸福指数</w:t>
            </w:r>
          </w:p>
        </w:tc>
        <w:tc>
          <w:tcPr>
            <w:tcW w:w="1410" w:type="dxa"/>
            <w:tcBorders>
              <w:top w:val="single" w:color="auto" w:sz="4" w:space="0"/>
              <w:left w:val="nil"/>
              <w:bottom w:val="single" w:color="auto" w:sz="4" w:space="0"/>
              <w:right w:val="single" w:color="auto" w:sz="4" w:space="0"/>
            </w:tcBorders>
            <w:noWrap w:val="0"/>
            <w:vAlign w:val="center"/>
          </w:tcPr>
          <w:p>
            <w:pPr>
              <w:widowControl/>
              <w:jc w:val="both"/>
              <w:rPr>
                <w:rFonts w:eastAsia="仿宋_GB2312"/>
                <w:color w:val="000000"/>
                <w:kern w:val="0"/>
                <w:szCs w:val="21"/>
              </w:rPr>
            </w:pPr>
            <w:r>
              <w:rPr>
                <w:rFonts w:hint="eastAsia" w:eastAsia="仿宋_GB2312"/>
                <w:color w:val="000000"/>
                <w:kern w:val="0"/>
                <w:szCs w:val="21"/>
                <w:lang w:eastAsia="zh-CN"/>
              </w:rPr>
              <w:t>拆除</w:t>
            </w:r>
            <w:r>
              <w:rPr>
                <w:rFonts w:hint="eastAsia" w:eastAsia="仿宋_GB2312"/>
                <w:color w:val="000000"/>
                <w:kern w:val="0"/>
                <w:szCs w:val="21"/>
              </w:rPr>
              <w:t>小区中的违章建筑、</w:t>
            </w:r>
            <w:r>
              <w:rPr>
                <w:rFonts w:hint="eastAsia" w:eastAsia="仿宋_GB2312"/>
                <w:color w:val="000000"/>
                <w:kern w:val="0"/>
                <w:szCs w:val="21"/>
                <w:lang w:eastAsia="zh-CN"/>
              </w:rPr>
              <w:t>处理</w:t>
            </w:r>
            <w:r>
              <w:rPr>
                <w:rFonts w:hint="eastAsia" w:eastAsia="仿宋_GB2312"/>
                <w:color w:val="000000"/>
                <w:kern w:val="0"/>
                <w:szCs w:val="21"/>
              </w:rPr>
              <w:t>陈年垃圾等顽疾，实现小区安定，维护社会稳定</w:t>
            </w:r>
          </w:p>
        </w:tc>
        <w:tc>
          <w:tcPr>
            <w:tcW w:w="1320" w:type="dxa"/>
            <w:tcBorders>
              <w:top w:val="single" w:color="auto" w:sz="4" w:space="0"/>
              <w:left w:val="nil"/>
              <w:bottom w:val="single" w:color="auto" w:sz="4" w:space="0"/>
              <w:right w:val="single" w:color="auto" w:sz="4" w:space="0"/>
            </w:tcBorders>
            <w:noWrap w:val="0"/>
            <w:vAlign w:val="center"/>
          </w:tcPr>
          <w:p>
            <w:pPr>
              <w:widowControl/>
              <w:jc w:val="both"/>
              <w:rPr>
                <w:rFonts w:eastAsia="仿宋_GB2312"/>
                <w:color w:val="000000"/>
                <w:kern w:val="0"/>
                <w:szCs w:val="21"/>
              </w:rPr>
            </w:pPr>
            <w:r>
              <w:rPr>
                <w:rFonts w:hint="eastAsia" w:eastAsia="仿宋_GB2312"/>
                <w:color w:val="000000"/>
                <w:kern w:val="0"/>
                <w:szCs w:val="21"/>
                <w:lang w:eastAsia="zh-CN"/>
              </w:rPr>
              <w:t>拆除</w:t>
            </w:r>
            <w:r>
              <w:rPr>
                <w:rFonts w:hint="eastAsia" w:eastAsia="仿宋_GB2312"/>
                <w:color w:val="000000"/>
                <w:kern w:val="0"/>
                <w:szCs w:val="21"/>
              </w:rPr>
              <w:t>小区中的违章建筑、</w:t>
            </w:r>
            <w:r>
              <w:rPr>
                <w:rFonts w:hint="eastAsia" w:eastAsia="仿宋_GB2312"/>
                <w:color w:val="000000"/>
                <w:kern w:val="0"/>
                <w:szCs w:val="21"/>
                <w:lang w:eastAsia="zh-CN"/>
              </w:rPr>
              <w:t>处理</w:t>
            </w:r>
            <w:r>
              <w:rPr>
                <w:rFonts w:hint="eastAsia" w:eastAsia="仿宋_GB2312"/>
                <w:color w:val="000000"/>
                <w:kern w:val="0"/>
                <w:szCs w:val="21"/>
              </w:rPr>
              <w:t>陈年垃圾等顽疾，实现小区安定，维护社会稳定</w:t>
            </w:r>
          </w:p>
        </w:tc>
        <w:tc>
          <w:tcPr>
            <w:tcW w:w="855"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7</w:t>
            </w:r>
          </w:p>
        </w:tc>
        <w:tc>
          <w:tcPr>
            <w:tcW w:w="855"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7</w:t>
            </w:r>
          </w:p>
        </w:tc>
        <w:tc>
          <w:tcPr>
            <w:tcW w:w="125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eastAsia="仿宋_GB2312"/>
                <w:color w:val="000000"/>
                <w:kern w:val="0"/>
                <w:szCs w:val="21"/>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9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提高环保意识</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rPr>
              <w:t>使居民树立环境保护意识，从自身做起促进生态平衡</w:t>
            </w:r>
          </w:p>
        </w:tc>
        <w:tc>
          <w:tcPr>
            <w:tcW w:w="13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提高</w:t>
            </w:r>
            <w:r>
              <w:rPr>
                <w:rFonts w:hint="eastAsia" w:eastAsia="仿宋_GB2312"/>
                <w:color w:val="000000"/>
                <w:kern w:val="0"/>
                <w:szCs w:val="21"/>
              </w:rPr>
              <w:t>居民树立环境保护意识，从自身做起促进生态平衡</w:t>
            </w:r>
          </w:p>
        </w:tc>
        <w:tc>
          <w:tcPr>
            <w:tcW w:w="8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8</w:t>
            </w:r>
          </w:p>
        </w:tc>
        <w:tc>
          <w:tcPr>
            <w:tcW w:w="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8</w:t>
            </w:r>
          </w:p>
        </w:tc>
        <w:tc>
          <w:tcPr>
            <w:tcW w:w="1256"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9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9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发展经济</w:t>
            </w:r>
          </w:p>
        </w:tc>
        <w:tc>
          <w:tcPr>
            <w:tcW w:w="14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营造良好经济发展环境</w:t>
            </w:r>
          </w:p>
        </w:tc>
        <w:tc>
          <w:tcPr>
            <w:tcW w:w="13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营造良好经济发展环境</w:t>
            </w:r>
          </w:p>
        </w:tc>
        <w:tc>
          <w:tcPr>
            <w:tcW w:w="8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8</w:t>
            </w:r>
          </w:p>
        </w:tc>
        <w:tc>
          <w:tcPr>
            <w:tcW w:w="8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8</w:t>
            </w:r>
          </w:p>
        </w:tc>
        <w:tc>
          <w:tcPr>
            <w:tcW w:w="1256"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1345"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18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9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rPr>
              <w:t>社会公众满意度、受益群众满意度</w:t>
            </w:r>
          </w:p>
        </w:tc>
        <w:tc>
          <w:tcPr>
            <w:tcW w:w="1410"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90%以上</w:t>
            </w:r>
          </w:p>
        </w:tc>
        <w:tc>
          <w:tcPr>
            <w:tcW w:w="1320"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95%</w:t>
            </w:r>
          </w:p>
        </w:tc>
        <w:tc>
          <w:tcPr>
            <w:tcW w:w="855"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855"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125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7033"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55"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55"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95</w:t>
            </w:r>
          </w:p>
        </w:tc>
        <w:tc>
          <w:tcPr>
            <w:tcW w:w="1256"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before="120" w:beforeLines="50"/>
        <w:jc w:val="both"/>
        <w:rPr>
          <w:rFonts w:hint="eastAsia" w:eastAsia="仿宋_GB2312"/>
          <w:sz w:val="24"/>
          <w:lang w:val="en-US" w:eastAsia="zh-CN"/>
        </w:rPr>
      </w:pPr>
      <w:r>
        <w:rPr>
          <w:rFonts w:eastAsia="仿宋_GB2312"/>
          <w:sz w:val="24"/>
        </w:rPr>
        <w:t>填表人：</w:t>
      </w:r>
      <w:r>
        <w:rPr>
          <w:rFonts w:hint="eastAsia" w:eastAsia="仿宋_GB2312"/>
          <w:sz w:val="24"/>
          <w:lang w:eastAsia="zh-CN"/>
        </w:rPr>
        <w:t>高文君</w:t>
      </w:r>
      <w:r>
        <w:rPr>
          <w:rFonts w:eastAsia="仿宋_GB2312"/>
          <w:sz w:val="24"/>
        </w:rPr>
        <w:t xml:space="preserve">  </w:t>
      </w:r>
      <w:r>
        <w:rPr>
          <w:rFonts w:hint="eastAsia" w:eastAsia="仿宋_GB2312"/>
          <w:sz w:val="24"/>
          <w:lang w:val="en-US" w:eastAsia="zh-CN"/>
        </w:rPr>
        <w:t xml:space="preserve">         </w:t>
      </w:r>
      <w:r>
        <w:rPr>
          <w:rFonts w:eastAsia="仿宋_GB2312"/>
          <w:sz w:val="24"/>
        </w:rPr>
        <w:t xml:space="preserve"> </w:t>
      </w:r>
      <w:r>
        <w:rPr>
          <w:rFonts w:hint="eastAsia" w:eastAsia="仿宋_GB2312"/>
          <w:sz w:val="24"/>
          <w:lang w:val="en-US" w:eastAsia="zh-CN"/>
        </w:rPr>
        <w:t xml:space="preserve">             </w:t>
      </w:r>
      <w:r>
        <w:rPr>
          <w:rFonts w:eastAsia="仿宋_GB2312"/>
          <w:sz w:val="24"/>
        </w:rPr>
        <w:t>填报日期：</w:t>
      </w:r>
      <w:r>
        <w:rPr>
          <w:rFonts w:hint="eastAsia" w:eastAsia="仿宋_GB2312"/>
          <w:sz w:val="24"/>
          <w:lang w:val="en-US" w:eastAsia="zh-CN"/>
        </w:rPr>
        <w:t>2022年3月26日</w:t>
      </w:r>
    </w:p>
    <w:p>
      <w:pPr>
        <w:spacing w:before="120" w:beforeLines="50"/>
        <w:jc w:val="both"/>
        <w:rPr>
          <w:rFonts w:hint="eastAsia" w:eastAsia="仿宋_GB2312"/>
          <w:lang w:val="en-US" w:eastAsia="zh-CN"/>
        </w:rPr>
        <w:sectPr>
          <w:pgSz w:w="11906" w:h="16838"/>
          <w:pgMar w:top="1440" w:right="1800" w:bottom="1440" w:left="1800" w:header="851" w:footer="992" w:gutter="0"/>
          <w:cols w:space="425" w:num="1"/>
          <w:docGrid w:type="lines" w:linePitch="312" w:charSpace="0"/>
        </w:sectPr>
      </w:pPr>
      <w:r>
        <w:rPr>
          <w:rFonts w:eastAsia="仿宋_GB2312"/>
          <w:sz w:val="24"/>
        </w:rPr>
        <w:t>联系电话：</w:t>
      </w:r>
      <w:r>
        <w:rPr>
          <w:rFonts w:hint="eastAsia" w:eastAsia="仿宋_GB2312"/>
          <w:sz w:val="24"/>
          <w:lang w:val="en-US" w:eastAsia="zh-CN"/>
        </w:rPr>
        <w:t>18216292512</w:t>
      </w:r>
      <w:r>
        <w:rPr>
          <w:rFonts w:eastAsia="仿宋_GB2312"/>
          <w:sz w:val="24"/>
        </w:rPr>
        <w:t xml:space="preserve">      </w:t>
      </w:r>
      <w:r>
        <w:rPr>
          <w:rFonts w:hint="eastAsia" w:eastAsia="仿宋_GB2312"/>
          <w:sz w:val="24"/>
          <w:lang w:val="en-US" w:eastAsia="zh-CN"/>
        </w:rPr>
        <w:t xml:space="preserve">           </w:t>
      </w:r>
      <w:r>
        <w:rPr>
          <w:rFonts w:eastAsia="仿宋_GB2312"/>
          <w:sz w:val="24"/>
        </w:rPr>
        <w:t xml:space="preserve"> 单位负责人签字</w:t>
      </w:r>
      <w:r>
        <w:rPr>
          <w:rFonts w:hint="eastAsia" w:eastAsia="仿宋_GB2312"/>
          <w:sz w:val="24"/>
          <w:lang w:val="en-US" w:eastAsia="zh-CN"/>
        </w:rPr>
        <w:t>:</w:t>
      </w:r>
    </w:p>
    <w:p>
      <w:pPr>
        <w:bidi w:val="0"/>
        <w:jc w:val="left"/>
        <w:rPr>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A0DFF"/>
    <w:multiLevelType w:val="singleLevel"/>
    <w:tmpl w:val="8DFA0DFF"/>
    <w:lvl w:ilvl="0" w:tentative="0">
      <w:start w:val="2"/>
      <w:numFmt w:val="chineseCounting"/>
      <w:suff w:val="nothing"/>
      <w:lvlText w:val="%1、"/>
      <w:lvlJc w:val="left"/>
      <w:rPr>
        <w:rFonts w:hint="eastAsia"/>
      </w:rPr>
    </w:lvl>
  </w:abstractNum>
  <w:abstractNum w:abstractNumId="1">
    <w:nsid w:val="A477C0EE"/>
    <w:multiLevelType w:val="singleLevel"/>
    <w:tmpl w:val="A477C0EE"/>
    <w:lvl w:ilvl="0" w:tentative="0">
      <w:start w:val="2"/>
      <w:numFmt w:val="chineseCounting"/>
      <w:suff w:val="nothing"/>
      <w:lvlText w:val="（%1）"/>
      <w:lvlJc w:val="left"/>
      <w:pPr>
        <w:ind w:left="-20"/>
      </w:pPr>
      <w:rPr>
        <w:rFonts w:hint="eastAsia"/>
      </w:rPr>
    </w:lvl>
  </w:abstractNum>
  <w:abstractNum w:abstractNumId="2">
    <w:nsid w:val="B25C62C2"/>
    <w:multiLevelType w:val="singleLevel"/>
    <w:tmpl w:val="B25C62C2"/>
    <w:lvl w:ilvl="0" w:tentative="0">
      <w:start w:val="2"/>
      <w:numFmt w:val="chineseCounting"/>
      <w:suff w:val="nothing"/>
      <w:lvlText w:val="（%1）"/>
      <w:lvlJc w:val="left"/>
      <w:rPr>
        <w:rFonts w:hint="eastAsia"/>
      </w:rPr>
    </w:lvl>
  </w:abstractNum>
  <w:abstractNum w:abstractNumId="3">
    <w:nsid w:val="EEF3E29E"/>
    <w:multiLevelType w:val="singleLevel"/>
    <w:tmpl w:val="EEF3E29E"/>
    <w:lvl w:ilvl="0" w:tentative="0">
      <w:start w:val="1"/>
      <w:numFmt w:val="chineseCounting"/>
      <w:suff w:val="nothing"/>
      <w:lvlText w:val="（%1）"/>
      <w:lvlJc w:val="left"/>
      <w:pPr>
        <w:ind w:left="-10"/>
      </w:pPr>
      <w:rPr>
        <w:rFonts w:hint="eastAsia"/>
      </w:rPr>
    </w:lvl>
  </w:abstractNum>
  <w:abstractNum w:abstractNumId="4">
    <w:nsid w:val="02313B83"/>
    <w:multiLevelType w:val="singleLevel"/>
    <w:tmpl w:val="02313B83"/>
    <w:lvl w:ilvl="0" w:tentative="0">
      <w:start w:val="4"/>
      <w:numFmt w:val="chineseCounting"/>
      <w:suff w:val="nothing"/>
      <w:lvlText w:val="%1、"/>
      <w:lvlJc w:val="left"/>
      <w:rPr>
        <w:rFonts w:hint="eastAsia"/>
      </w:rPr>
    </w:lvl>
  </w:abstractNum>
  <w:abstractNum w:abstractNumId="5">
    <w:nsid w:val="576C3BA5"/>
    <w:multiLevelType w:val="singleLevel"/>
    <w:tmpl w:val="576C3BA5"/>
    <w:lvl w:ilvl="0" w:tentative="0">
      <w:start w:val="1"/>
      <w:numFmt w:val="chineseCounting"/>
      <w:suff w:val="nothing"/>
      <w:lvlText w:val="（%1）"/>
      <w:lvlJc w:val="left"/>
      <w:rPr>
        <w:rFonts w:hint="eastAsia"/>
      </w:r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CFE4450"/>
    <w:rsid w:val="2A1A7A30"/>
    <w:rsid w:val="305B5409"/>
    <w:rsid w:val="341F501F"/>
    <w:rsid w:val="395C71F8"/>
    <w:rsid w:val="3C1E60A0"/>
    <w:rsid w:val="3C343492"/>
    <w:rsid w:val="3E920A2E"/>
    <w:rsid w:val="424B5CEC"/>
    <w:rsid w:val="442A624E"/>
    <w:rsid w:val="487D713D"/>
    <w:rsid w:val="4E7F7914"/>
    <w:rsid w:val="548D0FAC"/>
    <w:rsid w:val="59152139"/>
    <w:rsid w:val="5B060CDB"/>
    <w:rsid w:val="5C2F7C88"/>
    <w:rsid w:val="5CBA2AF3"/>
    <w:rsid w:val="661D46E2"/>
    <w:rsid w:val="758C6495"/>
    <w:rsid w:val="764A0732"/>
    <w:rsid w:val="7BE6631F"/>
    <w:rsid w:val="7CE21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before="100" w:beforeAutospacing="1" w:after="0"/>
      <w:ind w:left="0" w:firstLine="420" w:firstLineChars="200"/>
    </w:pPr>
    <w:rPr>
      <w:rFonts w:ascii="Calibri" w:hAnsi="Calibri"/>
    </w:rPr>
  </w:style>
  <w:style w:type="paragraph" w:styleId="3">
    <w:name w:val="Body Text Indent"/>
    <w:basedOn w:val="1"/>
    <w:qFormat/>
    <w:uiPriority w:val="0"/>
    <w:pPr>
      <w:spacing w:after="120"/>
      <w:ind w:left="420" w:leftChars="200"/>
    </w:pPr>
    <w:rPr>
      <w:rFonts w:ascii="Times New Roman" w:hAnsi="Times New Roman"/>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2512</Words>
  <Characters>2738</Characters>
  <Lines>0</Lines>
  <Paragraphs>0</Paragraphs>
  <TotalTime>2</TotalTime>
  <ScaleCrop>false</ScaleCrop>
  <LinksUpToDate>false</LinksUpToDate>
  <CharactersWithSpaces>2818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三洲驿街道办事处</cp:lastModifiedBy>
  <dcterms:modified xsi:type="dcterms:W3CDTF">2022-03-29T07:32:18Z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